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武陵源区审计局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信息公开申请表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  <w:lang w:val="en-US" w:eastAsia="zh-CN"/>
        </w:rPr>
        <w:t>5618016</w:t>
      </w:r>
      <w:bookmarkEnd w:id="0"/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410D29"/>
    <w:rsid w:val="38C5512E"/>
    <w:rsid w:val="39270DB0"/>
    <w:rsid w:val="394059D2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71DE2CE0"/>
    <w:rsid w:val="74D629E8"/>
    <w:rsid w:val="75BC2009"/>
    <w:rsid w:val="764D3A91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82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2023-11-20T08:46:53Z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2C5912500F0C4368B3776522F5545D3D_13</vt:lpwstr>
  </property>
</Properties>
</file>