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beforeLines="100" w:line="360" w:lineRule="auto"/>
        <w:jc w:val="center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索溪峪污水厂信息公开</w:t>
      </w:r>
    </w:p>
    <w:p>
      <w:pPr>
        <w:spacing w:before="240" w:beforeLines="100" w:line="360" w:lineRule="auto"/>
        <w:jc w:val="both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lang w:val="en-US" w:eastAsia="zh-CN"/>
        </w:rPr>
        <w:t>一、基础信息</w:t>
      </w: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</w:p>
    <w:p>
      <w:pPr>
        <w:spacing w:before="240" w:beforeLines="10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  <w:lang w:eastAsia="zh-CN"/>
        </w:rPr>
        <w:t>索溪峪污水处理厂</w:t>
      </w:r>
      <w:r>
        <w:rPr>
          <w:rFonts w:hint="eastAsia"/>
          <w:b/>
          <w:sz w:val="36"/>
          <w:szCs w:val="36"/>
        </w:rPr>
        <w:t>基本情况一览表</w:t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</w:p>
    <w:tbl>
      <w:tblPr>
        <w:tblStyle w:val="6"/>
        <w:tblpPr w:leftFromText="180" w:rightFromText="180" w:vertAnchor="text" w:horzAnchor="page" w:tblpX="1540" w:tblpY="27"/>
        <w:tblOverlap w:val="never"/>
        <w:tblW w:w="986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76"/>
        <w:gridCol w:w="2067"/>
        <w:gridCol w:w="2334"/>
        <w:gridCol w:w="1557"/>
        <w:gridCol w:w="322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ind w:right="-105" w:rightChars="-5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类别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  <w:t>基本情况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企业名称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tabs>
                <w:tab w:val="right" w:pos="6583"/>
              </w:tabs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张家界碧水源水务科技有限公司</w:t>
            </w: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ab/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行业名称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污水处理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  <w:t>建设地点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张家界市武陵源区索溪峪镇岩门村11组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  <w:t>法人代表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机构代码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914308113957142422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环保机构负责人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联系方式 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default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4445" t="4445" r="14605" b="14605"/>
                      <wp:wrapSquare wrapText="bothSides"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0744-5559868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pt;margin-top:0pt;height:144pt;width:144pt;mso-wrap-distance-bottom:0pt;mso-wrap-distance-left:9pt;mso-wrap-distance-right:9pt;mso-wrap-distance-top:0pt;mso-wrap-style:none;z-index:251659264;mso-width-relative:page;mso-height-relative:page;" fillcolor="#FFFFFF [3201]" filled="t" stroked="t" coordsize="21600,21600" o:gfxdata="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ypHvc8AAAAFAQAADwAAAAAAAAAB&#10;ACAAAAAiAAAAZHJzL2Rvd25yZXYueG1sUEsBAhQAFAAAAAgAh07iQF9Kv/hSAgAAtgQAAA4AAAAA&#10;AAAAAQAgAAAAHgEAAGRycy9lMm9Eb2MueG1sUEsFBgAAAAAGAAYAWQEAAOI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napToGrid w:val="0"/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0744-5559868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产品设计</w:t>
            </w:r>
            <w:r>
              <w:rPr>
                <w:color w:val="000000"/>
                <w:sz w:val="24"/>
                <w:szCs w:val="24"/>
              </w:rPr>
              <w:t>规模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实际产能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20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环评情况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52</w:t>
            </w:r>
            <w:r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（2001.9.17）</w:t>
            </w:r>
          </w:p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湘环评（2007）60号 （2007.6.28）</w:t>
            </w:r>
          </w:p>
          <w:p>
            <w:pPr>
              <w:snapToGrid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张环评（2014）59号 （2014.9.9）</w:t>
            </w:r>
          </w:p>
          <w:p>
            <w:pPr>
              <w:snapToGrid w:val="0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张环审（2017）10号 （2017.3.29）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color w:val="000000"/>
                <w:kern w:val="2"/>
                <w:sz w:val="24"/>
                <w:szCs w:val="24"/>
              </w:rPr>
              <w:t>工程投资情况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总投资：</w:t>
            </w:r>
            <w:r>
              <w:rPr>
                <w:rFonts w:hint="eastAsia"/>
                <w:sz w:val="24"/>
                <w:szCs w:val="24"/>
              </w:rPr>
              <w:t>72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69.36</w:t>
            </w:r>
            <w:r>
              <w:rPr>
                <w:sz w:val="24"/>
                <w:szCs w:val="24"/>
              </w:rPr>
              <w:t>万</w:t>
            </w:r>
            <w:r>
              <w:rPr>
                <w:rFonts w:hint="eastAsia"/>
                <w:sz w:val="24"/>
                <w:szCs w:val="24"/>
              </w:rPr>
              <w:t>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322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时间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开工时间：一期工程2001年12月6日；二期工程2009年4月27日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投产时间：一期工程2004年12月1日；二期工程2009年12月15日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验收时间：2012年2月28日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开工时间：索溪峪污水处理厂一期提标改造工程2014年11月10日；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竣工时间：索溪峪污水处理厂一期提标改造工程2016年3月4日；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验收时间：2016年4月11日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开工时间：索溪峪污水处理厂扩容提标改造工程：</w:t>
            </w:r>
            <w:r>
              <w:rPr>
                <w:rFonts w:hint="eastAsia"/>
                <w:szCs w:val="21"/>
                <w:lang w:val="en-US" w:eastAsia="zh-CN"/>
              </w:rPr>
              <w:t>2017年4月</w:t>
            </w:r>
          </w:p>
          <w:p>
            <w:pPr>
              <w:snapToGrid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环保验收时间：2018年11月10日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kern w:val="2"/>
                <w:sz w:val="24"/>
                <w:szCs w:val="24"/>
              </w:rPr>
              <w:t>年平均工作时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600</w:t>
            </w:r>
            <w:r>
              <w:rPr>
                <w:rFonts w:hint="eastAsia"/>
                <w:sz w:val="24"/>
                <w:szCs w:val="24"/>
              </w:rPr>
              <w:t>小时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</w:rPr>
              <w:t>占地面积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占</w:t>
            </w:r>
            <w:r>
              <w:rPr>
                <w:rFonts w:hint="eastAsia"/>
                <w:sz w:val="24"/>
                <w:szCs w:val="24"/>
              </w:rPr>
              <w:t>地面积21333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其中建筑占地面积3210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  <w:t>经营范围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水务环保技术开发、设备制造、安装、销售；水务环保工程设计、施工承包；城市供水、污水处理、中水回用、固废处理及其他环保、生态类项目的投资、建设运营业务（以上经营范围中涉及国家法律、行政法规规定的前置审批，按审批的项目和时限开展经营活动）</w:t>
            </w:r>
          </w:p>
        </w:tc>
      </w:tr>
    </w:tbl>
    <w:p>
      <w:pPr>
        <w:snapToGrid w:val="0"/>
        <w:ind w:left="-105" w:leftChars="-50" w:right="-105" w:rightChars="-50"/>
        <w:jc w:val="center"/>
        <w:rPr>
          <w:b/>
          <w:color w:val="000000"/>
          <w:szCs w:val="21"/>
        </w:rPr>
      </w:pP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二、排污信息(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  <w:t>2023年10月——12月)</w:t>
      </w:r>
    </w:p>
    <w:tbl>
      <w:tblPr>
        <w:tblStyle w:val="7"/>
        <w:tblW w:w="9843" w:type="dxa"/>
        <w:tblInd w:w="-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073"/>
        <w:gridCol w:w="1002"/>
        <w:gridCol w:w="1038"/>
        <w:gridCol w:w="870"/>
        <w:gridCol w:w="864"/>
        <w:gridCol w:w="1235"/>
        <w:gridCol w:w="1521"/>
        <w:gridCol w:w="822"/>
        <w:gridCol w:w="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排污总量</w:t>
            </w:r>
          </w:p>
        </w:tc>
        <w:tc>
          <w:tcPr>
            <w:tcW w:w="1073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1464580吨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排放方式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连续排放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排放口数量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235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分布情况</w:t>
            </w:r>
          </w:p>
        </w:tc>
        <w:tc>
          <w:tcPr>
            <w:tcW w:w="1521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总出水口</w:t>
            </w:r>
          </w:p>
        </w:tc>
        <w:tc>
          <w:tcPr>
            <w:tcW w:w="82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排放去向</w:t>
            </w:r>
          </w:p>
        </w:tc>
        <w:tc>
          <w:tcPr>
            <w:tcW w:w="67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索溪河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排放污染物名称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排放标准mg/l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月均进水浓度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月均排污浓度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排放总量（吨）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超标情况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COD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cr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67.08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12.56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18.4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BOD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26.47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2.73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SS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59.16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2.1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3.08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NH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-N</w:t>
            </w:r>
          </w:p>
        </w:tc>
        <w:tc>
          <w:tcPr>
            <w:tcW w:w="1002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）</w:t>
            </w:r>
          </w:p>
        </w:tc>
        <w:tc>
          <w:tcPr>
            <w:tcW w:w="1038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9.15</w:t>
            </w:r>
          </w:p>
        </w:tc>
        <w:tc>
          <w:tcPr>
            <w:tcW w:w="870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0.34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TN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15.05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3.04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4.45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TP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0.81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0.25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0.37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备注：</w:t>
      </w:r>
      <w:r>
        <w:rPr>
          <w:rFonts w:hint="eastAsia"/>
          <w:color w:val="auto"/>
          <w:sz w:val="28"/>
          <w:szCs w:val="28"/>
        </w:rPr>
        <w:t>处理后的</w:t>
      </w:r>
      <w:r>
        <w:rPr>
          <w:color w:val="auto"/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A</w:t>
      </w:r>
      <w:r>
        <w:rPr>
          <w:rFonts w:hint="eastAsia"/>
          <w:sz w:val="28"/>
          <w:szCs w:val="28"/>
        </w:rPr>
        <w:t>标准</w:t>
      </w:r>
      <w:r>
        <w:rPr>
          <w:sz w:val="28"/>
          <w:szCs w:val="28"/>
        </w:rPr>
        <w:t>。括号外数值为水温&gt;12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>
      <w:pPr>
        <w:numPr>
          <w:ilvl w:val="0"/>
          <w:numId w:val="0"/>
        </w:numPr>
        <w:spacing w:line="336" w:lineRule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三、防治污染物设施的建设和运行情况</w:t>
      </w:r>
    </w:p>
    <w:p>
      <w:pPr>
        <w:numPr>
          <w:ilvl w:val="0"/>
          <w:numId w:val="0"/>
        </w:numPr>
        <w:spacing w:line="760" w:lineRule="exact"/>
        <w:ind w:firstLine="64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索溪峪污水处理厂于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2004年12月开始投入运行，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污水处理规模为0.4万吨/天，采用DEST工艺；2009年为了增加污水处理厂量，新建二期工程，处理规模为0.8万吨/天，采用DEST工艺，出水达一级B标准排放；由于环保部门对出水水质要求提升，我厂于2014年对一期进行扩容改造，改造后一期工程设计处理规模由0.4万吨/天提升为0.6万吨/天，采用A</w:t>
      </w:r>
      <w:r>
        <w:rPr>
          <w:rFonts w:hint="eastAsia" w:ascii="宋体" w:hAnsi="宋体" w:cs="宋体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O-MBR膜工艺，总投资2300万元，二期维持DEST工艺，工程水量由0.8万吨/天降为0.6万吨/天，出水水质达一级A标准排放。武陵源属旅游城市，随着旅游经济的带动，流动人口的增长，日进水量远远超过了当时厂区的设计处理能力，按照区委区政府的要求，于2017年对我厂二期进行扩容提质改造，将我厂污水处理能力提升至2.2万吨/天，工程总投资约为7269.36万元，于2018年9月4日正式通水，运行正常，出水稳定达标排放。</w:t>
      </w:r>
    </w:p>
    <w:p>
      <w:pPr>
        <w:rPr>
          <w:rFonts w:hint="eastAsia" w:ascii="Times New Roman" w:hAnsi="Times New Roman" w:cs="Times New Roman" w:eastAsia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四、突发环境事件应急预案</w:t>
      </w:r>
    </w:p>
    <w:p>
      <w:pPr>
        <w:numPr>
          <w:ilvl w:val="0"/>
          <w:numId w:val="0"/>
        </w:numPr>
        <w:spacing w:line="336" w:lineRule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按照环保部门要求，公司已于2021年9月完成应急预案编制工作，并于2021年9月18日报张家界市生态环境局武陵源分局备案，备案编号为：430811-2021-005-L</w:t>
      </w: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2294890</wp:posOffset>
                </wp:positionV>
                <wp:extent cx="889000" cy="261620"/>
                <wp:effectExtent l="0" t="0" r="6350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65345" y="3209290"/>
                          <a:ext cx="88900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>0744-5559868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.35pt;margin-top:180.7pt;height:20.6pt;width:70pt;z-index:251660288;mso-width-relative:page;mso-height-relative:page;" fillcolor="#FFFFFF [3201]" filled="t" stroked="f" coordsize="21600,21600" o:gfxdata="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dWwh&#10;f9YAAAALAQAADwAAAAAAAAABACAAAAAiAAAAZHJzL2Rvd25yZXYueG1sUEsBAhQAFAAAAAgAh07i&#10;QDKZunldAgAAmg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  <w:szCs w:val="18"/>
                          <w:lang w:val="en-US" w:eastAsia="zh-CN"/>
                        </w:rPr>
                        <w:t>0744-5559868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7766050"/>
            <wp:effectExtent l="0" t="0" r="12065" b="6350"/>
            <wp:docPr id="1" name="图片 1" descr="应急预案备案表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急预案备案表2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5260" cy="7696835"/>
            <wp:effectExtent l="0" t="0" r="2540" b="18415"/>
            <wp:docPr id="2" name="图片 2" descr="应急预案备案表202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预案备案表2021-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环境自行监测方案(附后)</w:t>
      </w:r>
    </w:p>
    <w:p>
      <w:pPr>
        <w:numPr>
          <w:ilvl w:val="0"/>
          <w:numId w:val="0"/>
        </w:numPr>
        <w:spacing w:line="336" w:lineRule="auto"/>
        <w:ind w:firstLine="4176" w:firstLineChars="1300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                 </w:t>
      </w:r>
    </w:p>
    <w:p>
      <w:pPr>
        <w:jc w:val="center"/>
        <w:rPr>
          <w:rFonts w:hint="eastAsia"/>
          <w:color w:val="FF0000"/>
          <w:spacing w:val="80"/>
          <w:sz w:val="62"/>
        </w:rPr>
      </w:pPr>
    </w:p>
    <w:p>
      <w:pPr>
        <w:jc w:val="center"/>
        <w:rPr>
          <w:rFonts w:hint="eastAsia"/>
          <w:color w:val="FF0000"/>
          <w:spacing w:val="80"/>
          <w:sz w:val="62"/>
        </w:rPr>
      </w:pPr>
    </w:p>
    <w:p>
      <w:pPr>
        <w:spacing w:line="720" w:lineRule="auto"/>
        <w:ind w:firstLine="320"/>
        <w:rPr>
          <w:sz w:val="28"/>
        </w:rPr>
      </w:pPr>
      <w:r>
        <w:rPr>
          <w:rFonts w:hint="eastAsia"/>
          <w:b/>
          <w:spacing w:val="80"/>
          <w:sz w:val="60"/>
          <w:szCs w:val="60"/>
        </w:rPr>
        <w:t>湖南省国控重点污染源</w:t>
      </w:r>
      <w:r>
        <w:rPr>
          <w:rFonts w:hint="eastAsia" w:eastAsia="楷体_GB2312"/>
          <w:sz w:val="32"/>
        </w:rPr>
        <w:t xml:space="preserve">    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  </w:t>
      </w:r>
    </w:p>
    <w:p>
      <w:pPr>
        <w:spacing w:line="720" w:lineRule="auto"/>
        <w:ind w:firstLine="320"/>
        <w:jc w:val="center"/>
        <w:rPr>
          <w:rFonts w:hint="eastAsia"/>
          <w:b/>
          <w:spacing w:val="80"/>
          <w:sz w:val="60"/>
          <w:szCs w:val="60"/>
        </w:rPr>
      </w:pPr>
      <w:r>
        <w:rPr>
          <w:rFonts w:hint="eastAsia"/>
          <w:b/>
          <w:spacing w:val="80"/>
          <w:sz w:val="60"/>
          <w:szCs w:val="60"/>
        </w:rPr>
        <w:t>企业自行监测方案</w:t>
      </w: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700" w:lineRule="exact"/>
        <w:jc w:val="center"/>
        <w:rPr>
          <w:rFonts w:hint="eastAsia"/>
          <w:spacing w:val="40"/>
          <w:sz w:val="36"/>
        </w:rPr>
      </w:pPr>
      <w:r>
        <w:rPr>
          <w:rFonts w:hint="eastAsia"/>
          <w:spacing w:val="40"/>
          <w:sz w:val="36"/>
        </w:rPr>
        <w:t>张家界碧水源水务科技有限公司</w:t>
      </w:r>
    </w:p>
    <w:p>
      <w:pPr>
        <w:spacing w:line="700" w:lineRule="exact"/>
        <w:jc w:val="center"/>
        <w:rPr>
          <w:rFonts w:hint="eastAsia" w:eastAsia="黑体"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pacing w:val="40"/>
          <w:sz w:val="36"/>
        </w:rPr>
        <w:t>二</w:t>
      </w:r>
      <w:r>
        <w:rPr>
          <w:rFonts w:hint="eastAsia"/>
          <w:spacing w:val="40"/>
          <w:sz w:val="36"/>
        </w:rPr>
        <w:t>0二</w:t>
      </w:r>
      <w:r>
        <w:rPr>
          <w:rFonts w:hint="eastAsia"/>
          <w:spacing w:val="40"/>
          <w:sz w:val="36"/>
          <w:lang w:val="en-US" w:eastAsia="zh-CN"/>
        </w:rPr>
        <w:t>三</w:t>
      </w:r>
      <w:r>
        <w:rPr>
          <w:spacing w:val="40"/>
          <w:sz w:val="36"/>
        </w:rPr>
        <w:t>年</w:t>
      </w:r>
      <w:r>
        <w:rPr>
          <w:rFonts w:hint="eastAsia"/>
          <w:spacing w:val="40"/>
          <w:sz w:val="36"/>
        </w:rPr>
        <w:t>一</w:t>
      </w:r>
      <w:r>
        <w:rPr>
          <w:sz w:val="36"/>
          <w:szCs w:val="36"/>
        </w:rPr>
        <w:t>月</w:t>
      </w:r>
      <w:r>
        <w:rPr>
          <w:rFonts w:hint="eastAsia"/>
          <w:sz w:val="36"/>
          <w:szCs w:val="36"/>
        </w:rPr>
        <w:t>五日</w:t>
      </w:r>
    </w:p>
    <w:p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0" w:name="_Toc241505276"/>
      <w:bookmarkStart w:id="1" w:name="_Toc250993928"/>
      <w:bookmarkStart w:id="2" w:name="_Toc244416835"/>
      <w:bookmarkStart w:id="3" w:name="_Toc246476043"/>
      <w:r>
        <w:rPr>
          <w:rFonts w:hint="eastAsia" w:eastAsia="黑体"/>
          <w:sz w:val="32"/>
          <w:szCs w:val="32"/>
        </w:rPr>
        <w:t>1. 前 言</w:t>
      </w:r>
      <w:bookmarkEnd w:id="0"/>
      <w:bookmarkEnd w:id="1"/>
      <w:bookmarkEnd w:id="2"/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t>为贯彻</w:t>
      </w:r>
      <w:r>
        <w:rPr>
          <w:rFonts w:hint="eastAsia"/>
          <w:sz w:val="28"/>
          <w:szCs w:val="28"/>
        </w:rPr>
        <w:t>落实环境保护部“十</w:t>
      </w:r>
      <w:r>
        <w:rPr>
          <w:rFonts w:hint="eastAsia"/>
          <w:sz w:val="28"/>
          <w:szCs w:val="28"/>
          <w:lang w:val="en-US" w:eastAsia="zh-CN"/>
        </w:rPr>
        <w:t>四</w:t>
      </w:r>
      <w:r>
        <w:rPr>
          <w:rFonts w:hint="eastAsia"/>
          <w:sz w:val="28"/>
          <w:szCs w:val="28"/>
        </w:rPr>
        <w:t>五”主要污染物总量减排考核办法，按照环保部《国家重点监控企业自行监测及信息公开办法（试行）》（环发【2013】81）相关要求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索溪峪污水处理中心根据相关要求制定自行监测方案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本企业自行监测方式为手工监测与自动监测相结合方式。</w:t>
      </w:r>
    </w:p>
    <w:p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4" w:name="_Toc244416837"/>
      <w:bookmarkStart w:id="5" w:name="_Toc250993930"/>
      <w:bookmarkStart w:id="6" w:name="_Toc241505278"/>
      <w:r>
        <w:rPr>
          <w:rFonts w:hint="eastAsia" w:eastAsia="黑体"/>
          <w:sz w:val="32"/>
          <w:szCs w:val="32"/>
        </w:rPr>
        <w:t>2.</w:t>
      </w:r>
      <w:bookmarkEnd w:id="4"/>
      <w:bookmarkEnd w:id="5"/>
      <w:bookmarkEnd w:id="6"/>
      <w:r>
        <w:rPr>
          <w:rFonts w:hint="eastAsia" w:eastAsia="黑体"/>
          <w:sz w:val="32"/>
          <w:szCs w:val="32"/>
        </w:rPr>
        <w:t xml:space="preserve"> 企业的基本情况</w:t>
      </w:r>
    </w:p>
    <w:p>
      <w:pPr>
        <w:snapToGrid w:val="0"/>
        <w:spacing w:line="360" w:lineRule="auto"/>
        <w:ind w:firstLine="560" w:firstLineChars="200"/>
        <w:rPr>
          <w:rFonts w:hint="eastAsia"/>
        </w:rPr>
      </w:pPr>
      <w:r>
        <w:rPr>
          <w:rFonts w:hint="eastAsia"/>
          <w:sz w:val="28"/>
          <w:szCs w:val="28"/>
        </w:rPr>
        <w:t>企业位于张家界市武陵源区索溪峪镇岩门村11组</w:t>
      </w:r>
      <w:r>
        <w:rPr>
          <w:rFonts w:hint="eastAsia"/>
          <w:color w:val="000000"/>
          <w:sz w:val="28"/>
        </w:rPr>
        <w:t>。厂区南面索溪河</w:t>
      </w:r>
      <w:r>
        <w:rPr>
          <w:color w:val="000000"/>
          <w:sz w:val="28"/>
        </w:rPr>
        <w:t>，</w:t>
      </w:r>
      <w:r>
        <w:rPr>
          <w:rFonts w:hint="eastAsia"/>
          <w:color w:val="000000"/>
          <w:sz w:val="28"/>
        </w:rPr>
        <w:t>北面岩门村11组、东面环山及西面农田，厂界外50米范围内有岩门村11组居民住户</w:t>
      </w:r>
      <w:r>
        <w:rPr>
          <w:rFonts w:hint="eastAsia"/>
          <w:sz w:val="28"/>
        </w:rPr>
        <w:t>。整个厂区的平面布置及自行监测图见附图1。</w:t>
      </w:r>
    </w:p>
    <w:p>
      <w:pPr>
        <w:snapToGrid w:val="0"/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企业基本情况见表2-1。</w:t>
      </w:r>
    </w:p>
    <w:p>
      <w:pPr>
        <w:spacing w:before="240" w:beforeLines="100"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表2-1工程基本情况一览表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26"/>
        <w:gridCol w:w="1912"/>
        <w:gridCol w:w="2160"/>
        <w:gridCol w:w="1440"/>
        <w:gridCol w:w="298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类别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  <w:t>基本情况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企业名称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张家界市武陵源区索溪峪污水处理厂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行业名称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污水处理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  <w:t>建设地点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张家界市武陵源区索溪峪镇岩门村11组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环保机构负责人</w:t>
            </w:r>
          </w:p>
        </w:tc>
        <w:tc>
          <w:tcPr>
            <w:tcW w:w="21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李锦</w:t>
            </w:r>
          </w:p>
        </w:tc>
        <w:tc>
          <w:tcPr>
            <w:tcW w:w="14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298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0744-5559868</w:t>
            </w:r>
            <w:bookmarkStart w:id="31" w:name="_GoBack"/>
            <w:bookmarkEnd w:id="31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产品设计</w:t>
            </w:r>
            <w:r>
              <w:rPr>
                <w:color w:val="000000"/>
                <w:szCs w:val="21"/>
              </w:rPr>
              <w:t>规模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实际产能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湘环评（2014）52号 （2001.9.17）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湘环评（2007）60号 （2007.6.28）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张环评（2014）59号 （2014.9.9）</w:t>
            </w:r>
          </w:p>
          <w:p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张环审（2017）10号 （2017.3.29）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工程投资情况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总投资：</w:t>
            </w:r>
            <w:r>
              <w:rPr>
                <w:rFonts w:hint="eastAsia"/>
              </w:rPr>
              <w:t>7269.36</w:t>
            </w:r>
            <w:r>
              <w:t>万</w:t>
            </w:r>
            <w:r>
              <w:rPr>
                <w:rFonts w:hint="eastAsia"/>
              </w:rPr>
              <w:t>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时间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开工时间：索溪峪污水处理厂一期提标改造工程2014年11月10日；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竣工时间：索溪峪污水处理厂一期提标改造工程2016年3月4日；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验收时间：2016年4月11日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开工时间：索溪峪污水处理厂扩容提标改造工程：2017年4月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环保验收时间：2018年11月10日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</w:rPr>
              <w:t>年平均工作时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8600小时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占地面积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占</w:t>
            </w:r>
            <w:r>
              <w:rPr>
                <w:rFonts w:hint="eastAsia"/>
                <w:szCs w:val="21"/>
              </w:rPr>
              <w:t>地面积21333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其中建筑占地面积3210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。</w:t>
            </w:r>
          </w:p>
        </w:tc>
      </w:tr>
      <w:bookmarkEnd w:id="3"/>
    </w:tbl>
    <w:p>
      <w:pPr>
        <w:snapToGrid w:val="0"/>
        <w:spacing w:line="360" w:lineRule="auto"/>
        <w:rPr>
          <w:rFonts w:hint="eastAsia"/>
          <w:b/>
          <w:sz w:val="28"/>
          <w:szCs w:val="28"/>
        </w:rPr>
      </w:pPr>
      <w:bookmarkStart w:id="7" w:name="_Toc244416857"/>
      <w:bookmarkStart w:id="8" w:name="_Toc250993948"/>
      <w:bookmarkStart w:id="9" w:name="_Toc241505291"/>
      <w:bookmarkStart w:id="10" w:name="_Toc246476051"/>
    </w:p>
    <w:p>
      <w:pPr>
        <w:snapToGrid w:val="0"/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  企业生产工艺介绍</w:t>
      </w:r>
    </w:p>
    <w:p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 本厂采用的生产工艺为：</w:t>
      </w:r>
      <w:r>
        <w:rPr>
          <w:rFonts w:hint="eastAsia" w:ascii="宋体" w:hAnsi="宋体" w:cs="仿宋_GB2312"/>
          <w:kern w:val="0"/>
          <w:sz w:val="28"/>
          <w:szCs w:val="28"/>
        </w:rPr>
        <w:t>一期、二期均为AAO+MBR工艺。</w:t>
      </w:r>
    </w:p>
    <w:p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t xml:space="preserve"> 具体工艺流程见图2-1。</w:t>
      </w:r>
    </w:p>
    <w:p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drawing>
          <wp:inline distT="0" distB="0" distL="114300" distR="114300">
            <wp:extent cx="5539740" cy="3718560"/>
            <wp:effectExtent l="0" t="0" r="3810" b="15240"/>
            <wp:docPr id="17" name="图片 1" descr="IMG_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19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</w:p>
    <w:p>
      <w:pPr>
        <w:ind w:firstLine="560" w:firstLineChars="200"/>
        <w:rPr>
          <w:rFonts w:hint="eastAsia" w:hAnsi="宋体"/>
          <w:sz w:val="28"/>
          <w:szCs w:val="28"/>
        </w:rPr>
      </w:pPr>
    </w:p>
    <w:p>
      <w:pPr>
        <w:snapToGrid w:val="0"/>
        <w:spacing w:line="360" w:lineRule="auto"/>
        <w:ind w:firstLine="2783" w:firstLineChars="99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图2-1   生产工艺流程图</w:t>
      </w: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3.监测内容</w:t>
      </w:r>
      <w:bookmarkEnd w:id="7"/>
      <w:bookmarkEnd w:id="8"/>
      <w:bookmarkEnd w:id="9"/>
    </w:p>
    <w:p>
      <w:pPr>
        <w:pStyle w:val="3"/>
        <w:spacing w:before="0" w:after="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1" w:name="_Toc250993949"/>
      <w:bookmarkStart w:id="12" w:name="_Toc244416858"/>
      <w:bookmarkStart w:id="13" w:name="_Toc241505292"/>
      <w:r>
        <w:rPr>
          <w:rFonts w:hint="eastAsia" w:ascii="Times New Roman" w:hAnsi="Times New Roman" w:eastAsia="新宋体"/>
          <w:sz w:val="28"/>
          <w:szCs w:val="28"/>
        </w:rPr>
        <w:t>3.1水和废水</w:t>
      </w:r>
      <w:bookmarkEnd w:id="11"/>
      <w:bookmarkEnd w:id="12"/>
    </w:p>
    <w:p>
      <w:pPr>
        <w:spacing w:line="360" w:lineRule="auto"/>
        <w:ind w:firstLine="544" w:firstLineChars="200"/>
        <w:rPr>
          <w:rFonts w:hint="eastAsia"/>
          <w:spacing w:val="-4"/>
          <w:sz w:val="28"/>
          <w:szCs w:val="28"/>
        </w:rPr>
      </w:pPr>
      <w:r>
        <w:rPr>
          <w:rFonts w:hint="eastAsia"/>
          <w:color w:val="000000"/>
          <w:spacing w:val="-4"/>
          <w:sz w:val="28"/>
          <w:szCs w:val="28"/>
        </w:rPr>
        <w:t>水和废水</w:t>
      </w:r>
      <w:r>
        <w:rPr>
          <w:color w:val="000000"/>
          <w:spacing w:val="-4"/>
          <w:sz w:val="28"/>
          <w:szCs w:val="28"/>
        </w:rPr>
        <w:t>监测内容见表</w:t>
      </w:r>
      <w:r>
        <w:rPr>
          <w:rFonts w:hint="eastAsia"/>
          <w:color w:val="000000"/>
          <w:spacing w:val="-4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-</w:t>
      </w:r>
      <w:r>
        <w:rPr>
          <w:rFonts w:hint="eastAsia"/>
          <w:color w:val="000000"/>
          <w:spacing w:val="-4"/>
          <w:sz w:val="28"/>
          <w:szCs w:val="28"/>
        </w:rPr>
        <w:t>1</w:t>
      </w:r>
      <w:r>
        <w:rPr>
          <w:color w:val="000000"/>
          <w:spacing w:val="-4"/>
          <w:sz w:val="28"/>
          <w:szCs w:val="28"/>
        </w:rPr>
        <w:t>，</w:t>
      </w:r>
      <w:r>
        <w:rPr>
          <w:spacing w:val="-4"/>
          <w:sz w:val="28"/>
          <w:szCs w:val="28"/>
        </w:rPr>
        <w:t>监测点位见附图</w:t>
      </w:r>
      <w:r>
        <w:rPr>
          <w:rFonts w:hint="eastAsia"/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。</w:t>
      </w:r>
    </w:p>
    <w:p>
      <w:pPr>
        <w:spacing w:line="360" w:lineRule="auto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表</w:t>
      </w:r>
      <w:r>
        <w:rPr>
          <w:rFonts w:hint="eastAsia"/>
          <w:b/>
          <w:color w:val="000000"/>
          <w:spacing w:val="-4"/>
          <w:sz w:val="28"/>
          <w:szCs w:val="28"/>
        </w:rPr>
        <w:t>3</w:t>
      </w:r>
      <w:r>
        <w:rPr>
          <w:b/>
          <w:color w:val="000000"/>
          <w:spacing w:val="-4"/>
          <w:sz w:val="28"/>
          <w:szCs w:val="28"/>
        </w:rPr>
        <w:t>-</w:t>
      </w:r>
      <w:r>
        <w:rPr>
          <w:rFonts w:hint="eastAsia"/>
          <w:b/>
          <w:color w:val="000000"/>
          <w:spacing w:val="-4"/>
          <w:sz w:val="28"/>
          <w:szCs w:val="28"/>
        </w:rPr>
        <w:t>1</w:t>
      </w:r>
      <w:r>
        <w:rPr>
          <w:b/>
          <w:color w:val="000000"/>
          <w:spacing w:val="-4"/>
          <w:sz w:val="28"/>
          <w:szCs w:val="28"/>
        </w:rPr>
        <w:t xml:space="preserve">  </w:t>
      </w:r>
      <w:r>
        <w:rPr>
          <w:rFonts w:hint="eastAsia"/>
          <w:b/>
          <w:color w:val="000000"/>
          <w:spacing w:val="-4"/>
          <w:sz w:val="28"/>
          <w:szCs w:val="28"/>
        </w:rPr>
        <w:t>水和废水</w:t>
      </w:r>
      <w:r>
        <w:rPr>
          <w:b/>
          <w:color w:val="000000"/>
          <w:spacing w:val="-4"/>
          <w:sz w:val="28"/>
          <w:szCs w:val="28"/>
        </w:rPr>
        <w:t>监测工作内容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150"/>
        <w:gridCol w:w="1317"/>
        <w:gridCol w:w="2102"/>
        <w:gridCol w:w="1914"/>
        <w:gridCol w:w="134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监测方式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水质类别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监测点位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监测项目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监测频次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公开时限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pH值、悬浮物、化学需氧量、五日生化需氧量、氨氮、总磷、</w:t>
            </w:r>
            <w:r>
              <w:rPr>
                <w:rFonts w:hint="eastAsia"/>
                <w:sz w:val="24"/>
              </w:rPr>
              <w:t>总铅、总镉、总铬、总氮、总砷、</w:t>
            </w:r>
            <w:r>
              <w:rPr>
                <w:rFonts w:hint="eastAsia" w:ascii="宋体" w:hAnsi="宋体"/>
                <w:bCs/>
                <w:sz w:val="24"/>
              </w:rPr>
              <w:t>总汞、</w:t>
            </w:r>
            <w:r>
              <w:rPr>
                <w:rFonts w:hint="eastAsia" w:ascii="宋体" w:hAnsi="宋体"/>
                <w:bCs/>
                <w:spacing w:val="-20"/>
                <w:sz w:val="24"/>
              </w:rPr>
              <w:t>阴离子表面活性剂、粪大肠菌群、</w:t>
            </w:r>
            <w:r>
              <w:rPr>
                <w:rFonts w:hint="eastAsia"/>
                <w:sz w:val="24"/>
              </w:rPr>
              <w:t>色度、六价铬、石油类、</w:t>
            </w:r>
            <w:r>
              <w:rPr>
                <w:rFonts w:hint="eastAsia" w:ascii="宋体" w:hAnsi="宋体"/>
                <w:bCs/>
                <w:sz w:val="24"/>
              </w:rPr>
              <w:t>动植物油、烷基汞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PH值、化学需氧量、氨氮、总磷、总氮、悬浮物每天监测1次，五日生化需氧量每周监测1次，其它因子每月监测1次。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  <w:spacing w:val="-4"/>
                <w:szCs w:val="21"/>
              </w:rPr>
              <w:t>完成监测后次日公布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自动监测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进口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化学需氧量、氨氮、总磷、总氮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废气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臭气排口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甲烷、硫化氢、氨（氨气）、臭气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半年监测1次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PH值、化学需氧量、氨氮、悬浮物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根据降雨频率决定，每降雨监测1次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</w:tbl>
    <w:p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4" w:name="_Toc250993950"/>
      <w:bookmarkStart w:id="15" w:name="_Toc244416859"/>
      <w:r>
        <w:rPr>
          <w:rFonts w:hint="eastAsia"/>
        </w:rPr>
        <w:drawing>
          <wp:inline distT="0" distB="0" distL="114300" distR="114300">
            <wp:extent cx="5810250" cy="4686300"/>
            <wp:effectExtent l="0" t="0" r="0" b="0"/>
            <wp:docPr id="12" name="图片 2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厂区平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bookmarkEnd w:id="14"/>
    <w:bookmarkEnd w:id="15"/>
    <w:p>
      <w:pPr>
        <w:pStyle w:val="2"/>
        <w:spacing w:before="0" w:after="0" w:line="360" w:lineRule="auto"/>
        <w:rPr>
          <w:rFonts w:hint="eastAsia" w:ascii="宋体" w:hAnsi="宋体" w:cs="宋体"/>
          <w:b w:val="0"/>
          <w:bCs w:val="0"/>
          <w:sz w:val="28"/>
          <w:szCs w:val="28"/>
        </w:rPr>
      </w:pPr>
      <w:bookmarkStart w:id="16" w:name="_Toc244416862"/>
      <w:bookmarkStart w:id="17" w:name="_Toc241505294"/>
      <w:bookmarkStart w:id="18" w:name="_Toc250993952"/>
      <w:r>
        <w:rPr>
          <w:rFonts w:hint="eastAsia" w:ascii="宋体" w:hAnsi="宋体" w:cs="宋体"/>
          <w:b w:val="0"/>
          <w:bCs w:val="0"/>
          <w:sz w:val="28"/>
          <w:szCs w:val="28"/>
        </w:rPr>
        <w:t>注：黄色为雨水、红色为进口、绿色为排口、蓝色为大气</w:t>
      </w:r>
    </w:p>
    <w:p>
      <w:pPr>
        <w:pStyle w:val="11"/>
        <w:spacing w:before="240" w:beforeLines="0" w:after="144" w:afterLines="0"/>
      </w:pPr>
      <w:r>
        <w:rPr>
          <w:rFonts w:hint="eastAsia"/>
        </w:rPr>
        <w:t>4</w:t>
      </w:r>
      <w:r>
        <w:t>监测评价标准</w:t>
      </w:r>
    </w:p>
    <w:p>
      <w:pPr>
        <w:snapToGrid w:val="0"/>
        <w:spacing w:line="336" w:lineRule="auto"/>
        <w:ind w:firstLine="560" w:firstLineChars="200"/>
        <w:rPr>
          <w:rFonts w:hint="eastAsia"/>
          <w:sz w:val="28"/>
        </w:rPr>
      </w:pPr>
      <w:bookmarkStart w:id="19" w:name="_Toc250011371"/>
      <w:bookmarkStart w:id="20" w:name="_Toc261435284"/>
      <w:r>
        <w:rPr>
          <w:sz w:val="28"/>
        </w:rPr>
        <w:t>根据</w:t>
      </w:r>
      <w:r>
        <w:rPr>
          <w:rFonts w:hint="eastAsia"/>
          <w:sz w:val="28"/>
        </w:rPr>
        <w:t>湖南省环境保护局</w:t>
      </w:r>
      <w:r>
        <w:rPr>
          <w:sz w:val="28"/>
        </w:rPr>
        <w:t>《</w:t>
      </w:r>
      <w:r>
        <w:rPr>
          <w:rFonts w:hint="eastAsia"/>
          <w:sz w:val="28"/>
          <w:szCs w:val="28"/>
        </w:rPr>
        <w:t>关于</w:t>
      </w:r>
      <w:r>
        <w:rPr>
          <w:rFonts w:hint="eastAsia"/>
          <w:spacing w:val="-2"/>
          <w:sz w:val="28"/>
          <w:szCs w:val="28"/>
        </w:rPr>
        <w:t>索溪峪污水处理厂二期工程</w:t>
      </w:r>
      <w:r>
        <w:rPr>
          <w:sz w:val="28"/>
        </w:rPr>
        <w:t>环境影响报告书的批复》，</w:t>
      </w:r>
      <w:r>
        <w:rPr>
          <w:rFonts w:hint="eastAsia"/>
          <w:sz w:val="28"/>
        </w:rPr>
        <w:t>企业</w:t>
      </w:r>
      <w:r>
        <w:rPr>
          <w:sz w:val="28"/>
        </w:rPr>
        <w:t>执行标准如下</w:t>
      </w:r>
      <w:r>
        <w:rPr>
          <w:rFonts w:hint="eastAsia"/>
          <w:sz w:val="28"/>
        </w:rPr>
        <w:t>：</w:t>
      </w:r>
    </w:p>
    <w:p>
      <w:pPr>
        <w:pStyle w:val="2"/>
        <w:spacing w:before="0" w:after="0" w:line="360" w:lineRule="auto"/>
        <w:rPr>
          <w:rFonts w:eastAsia="黑体"/>
          <w:sz w:val="32"/>
        </w:rPr>
      </w:pPr>
      <w:bookmarkStart w:id="21" w:name="_Toc333573473"/>
      <w:r>
        <w:rPr>
          <w:rFonts w:hint="eastAsia" w:eastAsia="黑体"/>
          <w:sz w:val="32"/>
        </w:rPr>
        <w:t>4</w:t>
      </w:r>
      <w:r>
        <w:rPr>
          <w:rFonts w:eastAsia="黑体"/>
          <w:sz w:val="32"/>
        </w:rPr>
        <w:t>.1 废水</w:t>
      </w:r>
      <w:r>
        <w:rPr>
          <w:rFonts w:hint="eastAsia" w:eastAsia="黑体"/>
          <w:sz w:val="32"/>
        </w:rPr>
        <w:t>、废气</w:t>
      </w:r>
      <w:r>
        <w:rPr>
          <w:rFonts w:eastAsia="黑体"/>
          <w:sz w:val="32"/>
        </w:rPr>
        <w:t>和地表水</w:t>
      </w:r>
      <w:r>
        <w:rPr>
          <w:rFonts w:hint="eastAsia" w:eastAsia="黑体"/>
          <w:sz w:val="32"/>
        </w:rPr>
        <w:t>评价</w:t>
      </w:r>
      <w:r>
        <w:rPr>
          <w:rFonts w:eastAsia="黑体"/>
          <w:sz w:val="32"/>
        </w:rPr>
        <w:t>标准</w:t>
      </w:r>
      <w:bookmarkEnd w:id="19"/>
      <w:bookmarkEnd w:id="20"/>
      <w:bookmarkEnd w:id="21"/>
    </w:p>
    <w:p>
      <w:pPr>
        <w:snapToGrid w:val="0"/>
        <w:spacing w:line="336" w:lineRule="auto"/>
        <w:ind w:firstLine="578"/>
        <w:rPr>
          <w:rFonts w:hint="eastAsia"/>
          <w:sz w:val="28"/>
        </w:rPr>
      </w:pPr>
      <w:r>
        <w:rPr>
          <w:rFonts w:hint="eastAsia"/>
          <w:sz w:val="28"/>
          <w:szCs w:val="28"/>
        </w:rPr>
        <w:t>1、处理后的</w:t>
      </w:r>
      <w:r>
        <w:rPr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的A标准</w:t>
      </w:r>
      <w:r>
        <w:rPr>
          <w:sz w:val="28"/>
          <w:szCs w:val="28"/>
        </w:rPr>
        <w:t>。</w:t>
      </w:r>
      <w:r>
        <w:rPr>
          <w:rFonts w:hint="eastAsia"/>
          <w:spacing w:val="-10"/>
          <w:sz w:val="28"/>
          <w:szCs w:val="28"/>
        </w:rPr>
        <w:t>具体情况见表4-1 。</w:t>
      </w:r>
    </w:p>
    <w:p>
      <w:pPr>
        <w:spacing w:line="384" w:lineRule="auto"/>
        <w:ind w:firstLine="562" w:firstLineChars="200"/>
        <w:jc w:val="center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-1   水和</w:t>
      </w:r>
      <w:r>
        <w:rPr>
          <w:rFonts w:hint="eastAsia"/>
          <w:b/>
          <w:bCs/>
          <w:color w:val="000000"/>
          <w:sz w:val="28"/>
          <w:szCs w:val="28"/>
        </w:rPr>
        <w:t>废</w:t>
      </w:r>
      <w:r>
        <w:rPr>
          <w:b/>
          <w:bCs/>
          <w:color w:val="000000"/>
          <w:sz w:val="28"/>
          <w:szCs w:val="28"/>
        </w:rPr>
        <w:t>水</w:t>
      </w:r>
      <w:r>
        <w:rPr>
          <w:rFonts w:hint="eastAsia"/>
          <w:b/>
          <w:bCs/>
          <w:color w:val="000000"/>
          <w:sz w:val="28"/>
          <w:szCs w:val="28"/>
        </w:rPr>
        <w:t>评价</w:t>
      </w:r>
      <w:r>
        <w:rPr>
          <w:b/>
          <w:bCs/>
          <w:color w:val="000000"/>
          <w:sz w:val="28"/>
          <w:szCs w:val="28"/>
        </w:rPr>
        <w:t xml:space="preserve">标准     </w:t>
      </w:r>
      <w:r>
        <w:rPr>
          <w:color w:val="000000"/>
          <w:sz w:val="24"/>
        </w:rPr>
        <w:t>单位：mg/L(pH除外)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废水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pH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6-9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18918-2002)一</w:t>
            </w:r>
            <w:r>
              <w:rPr>
                <w:color w:val="000000"/>
                <w:szCs w:val="21"/>
              </w:rPr>
              <w:t>级标准</w:t>
            </w:r>
            <w:r>
              <w:rPr>
                <w:rFonts w:hint="eastAsia"/>
                <w:color w:val="000000"/>
                <w:szCs w:val="21"/>
              </w:rPr>
              <w:t>的A标准</w:t>
            </w:r>
          </w:p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悬浮物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化学需氧量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五日生化需氧量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动植物油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石油类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≤5（8）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阴离子表面活性剂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色度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≤30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粪大肠菌群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≤1000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总汞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总镉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总铬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六价铬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≤.005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总铅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烷基汞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  <w:bookmarkStart w:id="22" w:name="_Toc333573474"/>
      <w:bookmarkStart w:id="23" w:name="_Toc250011372"/>
      <w:bookmarkStart w:id="24" w:name="_Toc261435285"/>
      <w:r>
        <w:rPr>
          <w:rFonts w:hint="eastAsia"/>
          <w:sz w:val="28"/>
          <w:szCs w:val="28"/>
        </w:rPr>
        <w:t>备注：</w:t>
      </w:r>
      <w:r>
        <w:rPr>
          <w:sz w:val="28"/>
          <w:szCs w:val="28"/>
        </w:rPr>
        <w:t>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>
      <w:pPr>
        <w:spacing w:line="336" w:lineRule="auto"/>
        <w:ind w:firstLine="560" w:firstLineChars="200"/>
        <w:rPr>
          <w:sz w:val="28"/>
          <w:szCs w:val="28"/>
        </w:rPr>
      </w:pPr>
    </w:p>
    <w:p>
      <w:pPr>
        <w:snapToGrid w:val="0"/>
        <w:spacing w:line="336" w:lineRule="auto"/>
        <w:ind w:firstLine="578"/>
        <w:rPr>
          <w:sz w:val="28"/>
          <w:szCs w:val="28"/>
        </w:rPr>
      </w:pPr>
      <w:r>
        <w:rPr>
          <w:rFonts w:hint="eastAsia"/>
          <w:sz w:val="28"/>
          <w:szCs w:val="28"/>
        </w:rPr>
        <w:t>2、处理后的</w:t>
      </w:r>
      <w:r>
        <w:rPr>
          <w:sz w:val="28"/>
          <w:szCs w:val="28"/>
        </w:rPr>
        <w:t>废</w:t>
      </w:r>
      <w:r>
        <w:rPr>
          <w:rFonts w:hint="eastAsia"/>
          <w:sz w:val="28"/>
          <w:szCs w:val="28"/>
        </w:rPr>
        <w:t>气</w:t>
      </w:r>
      <w:r>
        <w:rPr>
          <w:sz w:val="28"/>
          <w:szCs w:val="28"/>
        </w:rPr>
        <w:t>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)。</w:t>
      </w:r>
      <w:r>
        <w:rPr>
          <w:rFonts w:hint="eastAsia"/>
          <w:spacing w:val="-10"/>
          <w:sz w:val="28"/>
          <w:szCs w:val="28"/>
        </w:rPr>
        <w:t>具体情况见表4-2 。</w:t>
      </w:r>
    </w:p>
    <w:p>
      <w:pPr>
        <w:spacing w:line="336" w:lineRule="auto"/>
        <w:ind w:firstLine="1405" w:firstLineChars="500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</w:t>
      </w:r>
      <w:r>
        <w:rPr>
          <w:rFonts w:hint="eastAsia"/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rFonts w:hint="eastAsia"/>
          <w:b/>
          <w:bCs/>
          <w:color w:val="000000"/>
          <w:sz w:val="28"/>
          <w:szCs w:val="28"/>
        </w:rPr>
        <w:t>大气污染物无组织排放</w:t>
      </w:r>
      <w:r>
        <w:rPr>
          <w:b/>
          <w:bCs/>
          <w:color w:val="000000"/>
          <w:sz w:val="28"/>
          <w:szCs w:val="28"/>
        </w:rPr>
        <w:t>标准</w:t>
      </w:r>
      <w:r>
        <w:rPr>
          <w:rFonts w:hint="eastAsia"/>
          <w:b/>
          <w:bCs/>
          <w:color w:val="000000"/>
          <w:sz w:val="28"/>
          <w:szCs w:val="28"/>
        </w:rPr>
        <w:t xml:space="preserve">   </w:t>
      </w:r>
      <w:r>
        <w:rPr>
          <w:rFonts w:hint="eastAsia"/>
          <w:color w:val="000000"/>
          <w:sz w:val="24"/>
        </w:rPr>
        <w:t>单位：mg/Nm³</w:t>
      </w:r>
    </w:p>
    <w:tbl>
      <w:tblPr>
        <w:tblStyle w:val="6"/>
        <w:tblW w:w="894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废气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rPr>
                <w:rFonts w:hint="eastAsia"/>
                <w:color w:val="000000"/>
                <w:szCs w:val="21"/>
              </w:rPr>
            </w:pPr>
          </w:p>
          <w:p>
            <w:pPr>
              <w:snapToGrid w:val="0"/>
              <w:spacing w:before="48" w:beforeLines="20" w:after="48" w:afterLines="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≤0.06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</w:t>
            </w:r>
          </w:p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氨（氨气）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臭气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≤20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甲烷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≤1%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</w:p>
    <w:bookmarkEnd w:id="22"/>
    <w:bookmarkEnd w:id="23"/>
    <w:bookmarkEnd w:id="24"/>
    <w:p>
      <w:pPr>
        <w:pStyle w:val="2"/>
        <w:spacing w:before="360" w:beforeLines="150" w:after="120" w:afterLines="5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5. 监测分析方法及质量保证</w:t>
      </w:r>
      <w:bookmarkEnd w:id="16"/>
      <w:bookmarkEnd w:id="17"/>
      <w:bookmarkEnd w:id="18"/>
    </w:p>
    <w:p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25" w:name="_Toc250993953"/>
      <w:bookmarkStart w:id="26" w:name="_Toc244416863"/>
      <w:bookmarkStart w:id="27" w:name="_Toc241505295"/>
      <w:r>
        <w:rPr>
          <w:rFonts w:hint="eastAsia" w:ascii="Times New Roman" w:hAnsi="Times New Roman" w:eastAsia="新宋体"/>
          <w:sz w:val="28"/>
          <w:szCs w:val="28"/>
        </w:rPr>
        <w:t>5.1监测分析方法</w:t>
      </w:r>
      <w:bookmarkEnd w:id="25"/>
      <w:bookmarkEnd w:id="26"/>
    </w:p>
    <w:p>
      <w:pPr>
        <w:spacing w:line="360" w:lineRule="auto"/>
        <w:ind w:firstLine="560" w:firstLineChars="200"/>
        <w:jc w:val="center"/>
        <w:rPr>
          <w:rFonts w:hint="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监测分析方法见表</w:t>
      </w:r>
      <w:r>
        <w:rPr>
          <w:rFonts w:hint="eastAsia"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</w:t>
      </w:r>
      <w:r>
        <w:rPr>
          <w:rFonts w:hint="eastAsia"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。</w:t>
      </w:r>
    </w:p>
    <w:bookmarkEnd w:id="27"/>
    <w:tbl>
      <w:tblPr>
        <w:tblStyle w:val="6"/>
        <w:tblW w:w="0" w:type="auto"/>
        <w:jc w:val="center"/>
        <w:tblCellSpacing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2093"/>
        <w:gridCol w:w="2369"/>
        <w:gridCol w:w="199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28" w:name="_Toc250993956"/>
            <w:r>
              <w:rPr>
                <w:rFonts w:hint="eastAsia" w:ascii="宋体" w:hAnsi="宋体" w:cs="宋体"/>
                <w:kern w:val="0"/>
                <w:sz w:val="24"/>
              </w:rPr>
              <w:t>监测方式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控制项目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测定方法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方法来源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手工监测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化学需氧量(COD)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重铬酸盐法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HJ828-201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生化需氧量(BOD)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稀释与接种法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505-2009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悬浮物(SS)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重量法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11901－89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石油类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阴离子表面活性剂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亚甲蓝分光光度法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137494－87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碱性过硫酸钾-消解紫外分光光度法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636-2012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纳氏试剂分光光度法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 535－2009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钼酸铵分光光度法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11893－89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色度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稀释倍数法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1182-2021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pH 值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电极法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HJ1147-2020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粪大肠菌群数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多管发酵法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H</w:t>
            </w:r>
            <w:r>
              <w:rPr>
                <w:rFonts w:hint="eastAsia" w:ascii="宋体" w:hAnsi="宋体" w:cs="宋体"/>
                <w:kern w:val="0"/>
                <w:sz w:val="24"/>
              </w:rPr>
              <w:t>J/T347.2-2018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总汞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HJ694-2014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总镉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高锰酸钾氧化－二苯碳酰二肼分光光度法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7466－87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六价铬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GB7467-87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694-2014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总铅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动植物油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红外分光光度法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烷基汞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GB/T14204-1993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硫化氢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GB/T14678-1993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氨（氨气）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离子选择电极法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GB/T14669-1993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臭气浓度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三点比较式臭袋法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GB/T14675-1993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自动监测</w:t>
            </w: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化学需氧量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COD在线监测设备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氨氮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总磷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总氮</w:t>
            </w:r>
          </w:p>
        </w:tc>
        <w:tc>
          <w:tcPr>
            <w:tcW w:w="236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总氮在线监测设备</w:t>
            </w:r>
          </w:p>
        </w:tc>
        <w:tc>
          <w:tcPr>
            <w:tcW w:w="199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>
      <w:pPr>
        <w:spacing w:line="360" w:lineRule="auto"/>
        <w:rPr>
          <w:rFonts w:hint="eastAsia"/>
        </w:rPr>
      </w:pPr>
      <w:r>
        <w:t>注：</w:t>
      </w:r>
      <w:r>
        <w:rPr>
          <w:rFonts w:hint="eastAsia"/>
        </w:rPr>
        <w:t>可参考</w:t>
      </w:r>
      <w:r>
        <w:rPr>
          <w:rFonts w:hint="eastAsia" w:ascii="宋体" w:hAnsi="宋体" w:cs="宋体"/>
        </w:rPr>
        <w:t>①</w:t>
      </w:r>
      <w:r>
        <w:t>《</w:t>
      </w:r>
      <w:r>
        <w:rPr>
          <w:rFonts w:hint="eastAsia"/>
        </w:rPr>
        <w:t>水</w:t>
      </w:r>
      <w:r>
        <w:t>和废</w:t>
      </w:r>
      <w:r>
        <w:rPr>
          <w:rFonts w:hint="eastAsia"/>
        </w:rPr>
        <w:t>水</w:t>
      </w:r>
      <w:r>
        <w:t>监测分析方法》（第四版），中国环境科学出版社，北京，2003年。</w:t>
      </w:r>
    </w:p>
    <w:p>
      <w:pPr>
        <w:rPr>
          <w:rFonts w:hint="eastAsia"/>
        </w:rPr>
      </w:pPr>
    </w:p>
    <w:p>
      <w:pPr>
        <w:pStyle w:val="3"/>
        <w:spacing w:before="120" w:after="120" w:line="360" w:lineRule="auto"/>
        <w:ind w:firstLine="138" w:firstLineChars="49"/>
        <w:rPr>
          <w:rFonts w:hint="eastAsia" w:ascii="Times New Roman" w:hAnsi="Times New Roman" w:eastAsia="新宋体"/>
          <w:sz w:val="28"/>
          <w:szCs w:val="28"/>
        </w:rPr>
      </w:pPr>
      <w:r>
        <w:rPr>
          <w:rFonts w:hint="eastAsia" w:ascii="Times New Roman" w:hAnsi="Times New Roman" w:eastAsia="新宋体"/>
          <w:sz w:val="28"/>
          <w:szCs w:val="28"/>
        </w:rPr>
        <w:t>5.2 质量保证</w:t>
      </w:r>
      <w:bookmarkEnd w:id="10"/>
      <w:bookmarkEnd w:id="28"/>
    </w:p>
    <w:p>
      <w:pPr>
        <w:spacing w:line="360" w:lineRule="auto"/>
        <w:ind w:firstLine="560" w:firstLineChars="200"/>
        <w:rPr>
          <w:sz w:val="28"/>
        </w:rPr>
      </w:pPr>
      <w:bookmarkStart w:id="29" w:name="_Toc250993957"/>
      <w:bookmarkStart w:id="30" w:name="_Toc246476052"/>
      <w:r>
        <w:rPr>
          <w:sz w:val="28"/>
        </w:rPr>
        <w:t>质量控制和质量保证严格执行国家环保局颁发的《环境监测技术规范》和国家有关采样、分析的标准及方法，实施全过程的质量保证。</w:t>
      </w:r>
    </w:p>
    <w:p>
      <w:pPr>
        <w:spacing w:line="360" w:lineRule="auto"/>
        <w:ind w:firstLine="560" w:firstLineChars="200"/>
        <w:rPr>
          <w:sz w:val="28"/>
        </w:rPr>
      </w:pPr>
      <w:r>
        <w:rPr>
          <w:sz w:val="28"/>
        </w:rPr>
        <w:t>(</w:t>
      </w:r>
      <w:r>
        <w:rPr>
          <w:rFonts w:hint="eastAsia"/>
          <w:sz w:val="28"/>
        </w:rPr>
        <w:t>1</w:t>
      </w:r>
      <w:r>
        <w:rPr>
          <w:sz w:val="28"/>
        </w:rPr>
        <w:t>) 监测分析方法采用国家有关部门颁布的标准（或推荐）分析方法，监测人员经过考核并持有合格证书。</w:t>
      </w:r>
    </w:p>
    <w:p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2</w:t>
      </w:r>
      <w:r>
        <w:rPr>
          <w:sz w:val="28"/>
        </w:rPr>
        <w:t>) 保证监测分析结果的准确可靠性，在监测期间，样品采集、运输、保存参考国家标准和《环境水质监测质量保证手册》（第二版，1994年）的技术要求进行，每批样品分析的同时做质控样品和平行双样。质控数据应占每批分析样品总数的10％～20％。</w:t>
      </w:r>
    </w:p>
    <w:p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3</w:t>
      </w:r>
      <w:r>
        <w:rPr>
          <w:sz w:val="28"/>
        </w:rPr>
        <w:t>) 监测数据严格实行三级审核制度，经过校对、校核，最后由技术负责人审定。</w:t>
      </w:r>
    </w:p>
    <w:bookmarkEnd w:id="29"/>
    <w:bookmarkEnd w:id="30"/>
    <w:p>
      <w:pPr>
        <w:spacing w:line="360" w:lineRule="auto"/>
        <w:ind w:firstLine="562" w:firstLineChars="200"/>
        <w:rPr>
          <w:rFonts w:hint="eastAsia"/>
          <w:sz w:val="24"/>
        </w:rPr>
      </w:pPr>
      <w:r>
        <w:rPr>
          <w:rFonts w:hint="eastAsia"/>
          <w:b/>
          <w:sz w:val="28"/>
          <w:szCs w:val="28"/>
        </w:rPr>
        <w:t>附件：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附件1：企业环评批复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9" name="图片 3" descr="环境影响审批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环境影响审批意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6" name="图片 4" descr="环境影响审批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环境影响审批意见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21" name="图片 5" descr="环境影响审批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环境影响审批意见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745865"/>
            <wp:effectExtent l="0" t="0" r="635" b="6985"/>
            <wp:docPr id="14" name="图片 6" descr="环评批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环评批复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451100" cy="3747770"/>
            <wp:effectExtent l="0" t="0" r="6350" b="5080"/>
            <wp:docPr id="15" name="图片 7" descr="环评批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环评批复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994785"/>
            <wp:effectExtent l="0" t="0" r="635" b="5715"/>
            <wp:docPr id="8" name="图片 8" descr="环评批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环评批复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附件2：被委托企业资质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429250" cy="6896100"/>
            <wp:effectExtent l="0" t="0" r="0" b="0"/>
            <wp:docPr id="13" name="图片 9" descr="38ACF575-1707-4f23-9556-B71536843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38ACF575-1707-4f23-9556-B715368436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附图：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4"/>
        </w:rPr>
        <w:t xml:space="preserve">    附图1:  ：企业平面布置示意图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  <w:sectPr>
          <w:headerReference r:id="rId4" w:type="default"/>
          <w:footerReference r:id="rId5" w:type="default"/>
          <w:pgSz w:w="11906" w:h="16838"/>
          <w:pgMar w:top="1440" w:right="1588" w:bottom="1440" w:left="1588" w:header="851" w:footer="992" w:gutter="0"/>
          <w:pgNumType w:start="1"/>
          <w:cols w:space="720" w:num="1"/>
          <w:docGrid w:linePitch="312" w:charSpace="0"/>
        </w:sect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019925" cy="4981575"/>
            <wp:effectExtent l="0" t="0" r="9525" b="9525"/>
            <wp:docPr id="11" name="图片 10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厂区平面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>
      <w:pPr>
        <w:spacing w:line="360" w:lineRule="auto"/>
        <w:ind w:firstLine="560" w:firstLineChars="200"/>
        <w:jc w:val="center"/>
        <w:rPr>
          <w:rFonts w:hint="eastAsia"/>
          <w:sz w:val="28"/>
          <w:szCs w:val="28"/>
        </w:rPr>
        <w:sectPr>
          <w:pgSz w:w="16838" w:h="11906" w:orient="landscape"/>
          <w:pgMar w:top="1588" w:right="1440" w:bottom="1588" w:left="1440" w:header="851" w:footer="992" w:gutter="0"/>
          <w:pgNumType w:start="1"/>
          <w:cols w:space="720" w:num="1"/>
          <w:docGrid w:linePitch="312" w:charSpace="0"/>
        </w:sectPr>
      </w:pPr>
    </w:p>
    <w:p>
      <w:pPr>
        <w:rPr>
          <w:rFonts w:hint="eastAsia"/>
        </w:rPr>
      </w:pPr>
    </w:p>
    <w:p/>
    <w:sectPr>
      <w:headerReference r:id="rId6" w:type="default"/>
      <w:footerReference r:id="rId7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ascii="新宋体" w:hAnsi="新宋体" w:eastAsia="新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U4M8c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DV2iJI5bnPj5x/fzz9/nX98I&#10;+lCgPkCNeY8BM9Nw4wdcm9kP6My8BxVt/iIjgnHEOl3klUMiIj9aLVerCkMCY/MF8dnT8xAh3Ulv&#10;STYaGnF+RVZ+vIc0ps4puZrzt9qYMkPj/nIgZvaw3PvYY7bSsBsmQjvfnpBPj6NvqMNNp8R8dKgs&#10;9pdmI87GbjYOIep9V9Yo14Pw4ZCwidJbrjDCToVxZoXdtF95KZ7fS9bTP7X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Tgzx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 w:ascii="新宋体" w:hAnsi="新宋体" w:eastAsia="新宋体"/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</w:rPr>
      <w:t>张家界碧水源水务科技有限公司自行监测方案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  <w:lang w:val="en-US" w:eastAsia="zh-CN"/>
      </w:rPr>
      <w:t>张家界</w:t>
    </w:r>
    <w:r>
      <w:rPr>
        <w:rFonts w:hint="eastAsia" w:ascii="仿宋_GB2312" w:eastAsia="仿宋_GB2312"/>
      </w:rPr>
      <w:t>碧水源水务科技有限公司自行监测方案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6F49ED"/>
    <w:multiLevelType w:val="singleLevel"/>
    <w:tmpl w:val="586F49ED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4ZjkwZDdiMjliNjk5N2VlMjQ2NDBiZjIyM2Y5MmQifQ=="/>
  </w:docVars>
  <w:rsids>
    <w:rsidRoot w:val="0E541EF2"/>
    <w:rsid w:val="016F3107"/>
    <w:rsid w:val="084F0F9F"/>
    <w:rsid w:val="0A0956F7"/>
    <w:rsid w:val="0C193C5B"/>
    <w:rsid w:val="0E541EF2"/>
    <w:rsid w:val="0EEB4D01"/>
    <w:rsid w:val="1019468A"/>
    <w:rsid w:val="121E725B"/>
    <w:rsid w:val="17587CBE"/>
    <w:rsid w:val="18F11E7C"/>
    <w:rsid w:val="1AFD0A64"/>
    <w:rsid w:val="1CEB2A2F"/>
    <w:rsid w:val="2B491F18"/>
    <w:rsid w:val="2BD14CA7"/>
    <w:rsid w:val="2EBE62EB"/>
    <w:rsid w:val="31873764"/>
    <w:rsid w:val="32993928"/>
    <w:rsid w:val="398413EB"/>
    <w:rsid w:val="39A12465"/>
    <w:rsid w:val="3D820EA9"/>
    <w:rsid w:val="3DDD44C0"/>
    <w:rsid w:val="3EB3052A"/>
    <w:rsid w:val="3F9C489D"/>
    <w:rsid w:val="421817C1"/>
    <w:rsid w:val="42AE426E"/>
    <w:rsid w:val="43266FB8"/>
    <w:rsid w:val="448300FF"/>
    <w:rsid w:val="4BBF5BA2"/>
    <w:rsid w:val="4BEA754E"/>
    <w:rsid w:val="4CD37466"/>
    <w:rsid w:val="55E1624E"/>
    <w:rsid w:val="5975743C"/>
    <w:rsid w:val="5D096819"/>
    <w:rsid w:val="641525DA"/>
    <w:rsid w:val="661A0881"/>
    <w:rsid w:val="68B323BF"/>
    <w:rsid w:val="6976718A"/>
    <w:rsid w:val="72A77F34"/>
    <w:rsid w:val="75273C04"/>
    <w:rsid w:val="786B4FA8"/>
    <w:rsid w:val="7B866CB1"/>
    <w:rsid w:val="7C845683"/>
    <w:rsid w:val="7CDF5F94"/>
    <w:rsid w:val="7DA9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xl31"/>
    <w:basedOn w:val="1"/>
    <w:qFormat/>
    <w:uiPriority w:val="0"/>
    <w:pPr>
      <w:widowControl/>
      <w:pBdr>
        <w:bottom w:val="double" w:color="auto" w:sz="6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10">
    <w:name w:val="xl39"/>
    <w:basedOn w:val="1"/>
    <w:autoRedefine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hint="eastAsia" w:ascii="仿宋_GB2312" w:hAnsi="宋体" w:eastAsia="仿宋_GB2312"/>
      <w:kern w:val="0"/>
      <w:sz w:val="24"/>
    </w:rPr>
  </w:style>
  <w:style w:type="paragraph" w:customStyle="1" w:styleId="11">
    <w:name w:val="样式 标题 1 + 段前: 0.12 行 段后: 0.5 行 行距: 多倍行距 1.6 字行"/>
    <w:basedOn w:val="2"/>
    <w:autoRedefine/>
    <w:qFormat/>
    <w:uiPriority w:val="0"/>
    <w:pPr>
      <w:spacing w:before="187" w:beforeLines="60" w:after="187" w:afterLines="60" w:line="384" w:lineRule="auto"/>
    </w:pPr>
    <w:rPr>
      <w:rFonts w:eastAsia="黑体" w:cs="宋体"/>
      <w:sz w:val="32"/>
      <w:szCs w:val="20"/>
    </w:rPr>
  </w:style>
  <w:style w:type="paragraph" w:customStyle="1" w:styleId="12">
    <w:name w:val="表文字"/>
    <w:basedOn w:val="1"/>
    <w:autoRedefine/>
    <w:qFormat/>
    <w:uiPriority w:val="0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3406</Words>
  <Characters>4214</Characters>
  <Lines>0</Lines>
  <Paragraphs>0</Paragraphs>
  <TotalTime>1</TotalTime>
  <ScaleCrop>false</ScaleCrop>
  <LinksUpToDate>false</LinksUpToDate>
  <CharactersWithSpaces>4404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2019-06-26T02:28:00Z</dcterms:created>
  <dc:creator> 无敌小太阳 </dc:creator>
  <cp:lastModifiedBy>晓ber总有一天要成为大佬</cp:lastModifiedBy>
  <dcterms:modified xsi:type="dcterms:W3CDTF">2024-04-17T02:29:23Z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37358D74386C4F7A9596AA1093DAA412_13</vt:lpwstr>
  </property>
</Properties>
</file>