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72A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方正小标宋简体" w:hAnsi="方正小标宋简体" w:eastAsia="方正小标宋简体" w:cs="方正小标宋简体"/>
          <w:i w:val="0"/>
          <w:iCs w:val="0"/>
          <w:caps w:val="0"/>
          <w:color w:val="auto"/>
          <w:spacing w:val="0"/>
          <w:sz w:val="44"/>
          <w:szCs w:val="44"/>
        </w:rPr>
      </w:pPr>
      <w:r>
        <w:rPr>
          <w:rFonts w:hint="eastAsia" w:ascii="方正小标宋简体" w:hAnsi="方正小标宋简体" w:eastAsia="方正小标宋简体" w:cs="方正小标宋简体"/>
          <w:i w:val="0"/>
          <w:iCs w:val="0"/>
          <w:caps w:val="0"/>
          <w:color w:val="auto"/>
          <w:spacing w:val="0"/>
          <w:sz w:val="44"/>
          <w:szCs w:val="44"/>
          <w:shd w:val="clear" w:fill="FFFFFF"/>
        </w:rPr>
        <w:t>关于社会组织</w:t>
      </w: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变更业务范围</w:t>
      </w:r>
      <w:r>
        <w:rPr>
          <w:rFonts w:hint="eastAsia" w:ascii="方正小标宋简体" w:hAnsi="方正小标宋简体" w:eastAsia="方正小标宋简体" w:cs="方正小标宋简体"/>
          <w:i w:val="0"/>
          <w:iCs w:val="0"/>
          <w:caps w:val="0"/>
          <w:color w:val="auto"/>
          <w:spacing w:val="0"/>
          <w:sz w:val="44"/>
          <w:szCs w:val="44"/>
          <w:shd w:val="clear" w:fill="FFFFFF"/>
        </w:rPr>
        <w:t>的公告</w:t>
      </w:r>
    </w:p>
    <w:p w14:paraId="14325A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我局于2024年10月14日办结张家界市武陵源区释迦乐幼儿园民办非企业变更业务范围的申请，</w:t>
      </w:r>
      <w:r>
        <w:rPr>
          <w:rFonts w:hint="eastAsia" w:ascii="仿宋_GB2312" w:hAnsi="仿宋_GB2312" w:eastAsia="仿宋_GB2312" w:cs="仿宋_GB2312"/>
          <w:i w:val="0"/>
          <w:iCs w:val="0"/>
          <w:caps w:val="0"/>
          <w:color w:val="000000"/>
          <w:spacing w:val="0"/>
          <w:sz w:val="32"/>
          <w:szCs w:val="32"/>
          <w:shd w:val="clear" w:fill="FFFFFF"/>
        </w:rPr>
        <w:t>依据《</w:t>
      </w:r>
      <w:r>
        <w:rPr>
          <w:rFonts w:hint="eastAsia" w:ascii="仿宋_GB2312" w:hAnsi="仿宋_GB2312" w:eastAsia="仿宋_GB2312" w:cs="仿宋_GB2312"/>
          <w:i w:val="0"/>
          <w:iCs w:val="0"/>
          <w:caps w:val="0"/>
          <w:color w:val="000000"/>
          <w:spacing w:val="0"/>
          <w:sz w:val="32"/>
          <w:szCs w:val="32"/>
          <w:shd w:val="clear" w:fill="FFFFFF"/>
          <w:lang w:val="en-US" w:eastAsia="zh-CN"/>
        </w:rPr>
        <w:t>社会组织管理条例</w:t>
      </w:r>
      <w:r>
        <w:rPr>
          <w:rFonts w:hint="eastAsia" w:ascii="仿宋_GB2312" w:hAnsi="仿宋_GB2312" w:eastAsia="仿宋_GB2312" w:cs="仿宋_GB2312"/>
          <w:i w:val="0"/>
          <w:iCs w:val="0"/>
          <w:caps w:val="0"/>
          <w:color w:val="000000"/>
          <w:spacing w:val="0"/>
          <w:sz w:val="32"/>
          <w:szCs w:val="32"/>
          <w:shd w:val="clear" w:fill="FFFFFF"/>
        </w:rPr>
        <w:t>》和有关政策规定，经</w:t>
      </w:r>
      <w:r>
        <w:rPr>
          <w:rFonts w:hint="eastAsia" w:ascii="仿宋_GB2312" w:hAnsi="仿宋_GB2312" w:eastAsia="仿宋_GB2312" w:cs="仿宋_GB2312"/>
          <w:i w:val="0"/>
          <w:iCs w:val="0"/>
          <w:caps w:val="0"/>
          <w:color w:val="000000"/>
          <w:spacing w:val="0"/>
          <w:sz w:val="32"/>
          <w:szCs w:val="32"/>
          <w:shd w:val="clear" w:fill="FFFFFF"/>
          <w:lang w:val="en-US" w:eastAsia="zh-CN"/>
        </w:rPr>
        <w:t>张家界市武陵源区</w:t>
      </w:r>
      <w:r>
        <w:rPr>
          <w:rFonts w:hint="eastAsia" w:ascii="仿宋_GB2312" w:hAnsi="仿宋_GB2312" w:eastAsia="仿宋_GB2312" w:cs="仿宋_GB2312"/>
          <w:i w:val="0"/>
          <w:iCs w:val="0"/>
          <w:caps w:val="0"/>
          <w:color w:val="000000"/>
          <w:spacing w:val="0"/>
          <w:sz w:val="32"/>
          <w:szCs w:val="32"/>
          <w:shd w:val="clear" w:fill="FFFFFF"/>
        </w:rPr>
        <w:t>民政</w:t>
      </w:r>
      <w:r>
        <w:rPr>
          <w:rFonts w:hint="eastAsia" w:ascii="仿宋_GB2312" w:hAnsi="仿宋_GB2312" w:eastAsia="仿宋_GB2312" w:cs="仿宋_GB2312"/>
          <w:i w:val="0"/>
          <w:iCs w:val="0"/>
          <w:caps w:val="0"/>
          <w:color w:val="000000"/>
          <w:spacing w:val="0"/>
          <w:sz w:val="32"/>
          <w:szCs w:val="32"/>
          <w:shd w:val="clear" w:fill="FFFFFF"/>
          <w:lang w:val="en-US" w:eastAsia="zh-CN"/>
        </w:rPr>
        <w:t>和人力资源社会保障</w:t>
      </w:r>
      <w:r>
        <w:rPr>
          <w:rFonts w:hint="eastAsia" w:ascii="仿宋_GB2312" w:hAnsi="仿宋_GB2312" w:eastAsia="仿宋_GB2312" w:cs="仿宋_GB2312"/>
          <w:i w:val="0"/>
          <w:iCs w:val="0"/>
          <w:caps w:val="0"/>
          <w:color w:val="000000"/>
          <w:spacing w:val="0"/>
          <w:sz w:val="32"/>
          <w:szCs w:val="32"/>
          <w:shd w:val="clear" w:fill="FFFFFF"/>
        </w:rPr>
        <w:t>局审</w:t>
      </w:r>
      <w:r>
        <w:rPr>
          <w:rFonts w:hint="eastAsia" w:ascii="仿宋_GB2312" w:hAnsi="仿宋_GB2312" w:eastAsia="仿宋_GB2312" w:cs="仿宋_GB2312"/>
          <w:i w:val="0"/>
          <w:iCs w:val="0"/>
          <w:caps w:val="0"/>
          <w:color w:val="000000"/>
          <w:spacing w:val="0"/>
          <w:sz w:val="32"/>
          <w:szCs w:val="32"/>
          <w:shd w:val="clear" w:fill="FFFFFF"/>
          <w:lang w:val="en-US" w:eastAsia="zh-CN"/>
        </w:rPr>
        <w:t>核</w:t>
      </w:r>
      <w:r>
        <w:rPr>
          <w:rFonts w:hint="eastAsia" w:ascii="仿宋_GB2312" w:hAnsi="仿宋_GB2312" w:eastAsia="仿宋_GB2312" w:cs="仿宋_GB2312"/>
          <w:i w:val="0"/>
          <w:iCs w:val="0"/>
          <w:caps w:val="0"/>
          <w:color w:val="000000"/>
          <w:spacing w:val="0"/>
          <w:sz w:val="32"/>
          <w:szCs w:val="32"/>
          <w:shd w:val="clear" w:fill="FFFFFF"/>
        </w:rPr>
        <w:t>，对</w:t>
      </w:r>
      <w:r>
        <w:rPr>
          <w:rFonts w:hint="eastAsia" w:ascii="仿宋_GB2312" w:hAnsi="仿宋_GB2312" w:eastAsia="仿宋_GB2312" w:cs="仿宋_GB2312"/>
          <w:i w:val="0"/>
          <w:iCs w:val="0"/>
          <w:caps w:val="0"/>
          <w:color w:val="000000"/>
          <w:spacing w:val="0"/>
          <w:sz w:val="32"/>
          <w:szCs w:val="32"/>
          <w:shd w:val="clear" w:fill="FFFFFF"/>
          <w:lang w:val="en-US" w:eastAsia="zh-CN"/>
        </w:rPr>
        <w:t>该</w:t>
      </w:r>
      <w:r>
        <w:rPr>
          <w:rFonts w:hint="eastAsia" w:ascii="仿宋_GB2312" w:hAnsi="仿宋_GB2312" w:eastAsia="仿宋_GB2312" w:cs="仿宋_GB2312"/>
          <w:i w:val="0"/>
          <w:iCs w:val="0"/>
          <w:caps w:val="0"/>
          <w:color w:val="000000"/>
          <w:spacing w:val="0"/>
          <w:sz w:val="32"/>
          <w:szCs w:val="32"/>
          <w:shd w:val="clear" w:fill="FFFFFF"/>
        </w:rPr>
        <w:t>社会组织准予</w:t>
      </w:r>
      <w:r>
        <w:rPr>
          <w:rFonts w:hint="eastAsia" w:ascii="仿宋_GB2312" w:hAnsi="仿宋_GB2312" w:eastAsia="仿宋_GB2312" w:cs="仿宋_GB2312"/>
          <w:i w:val="0"/>
          <w:iCs w:val="0"/>
          <w:caps w:val="0"/>
          <w:color w:val="000000"/>
          <w:spacing w:val="0"/>
          <w:sz w:val="32"/>
          <w:szCs w:val="32"/>
          <w:shd w:val="clear" w:fill="FFFFFF"/>
          <w:lang w:val="en-US" w:eastAsia="zh-CN"/>
        </w:rPr>
        <w:t>变更</w:t>
      </w:r>
      <w:r>
        <w:rPr>
          <w:rFonts w:hint="eastAsia" w:ascii="仿宋_GB2312" w:hAnsi="仿宋_GB2312" w:eastAsia="仿宋_GB2312" w:cs="仿宋_GB2312"/>
          <w:i w:val="0"/>
          <w:iCs w:val="0"/>
          <w:caps w:val="0"/>
          <w:color w:val="000000"/>
          <w:spacing w:val="0"/>
          <w:sz w:val="32"/>
          <w:szCs w:val="32"/>
          <w:shd w:val="clear" w:fill="FFFFFF"/>
        </w:rPr>
        <w:t>登记，现予以公告</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　　</w:t>
      </w:r>
    </w:p>
    <w:p w14:paraId="160EFF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p>
    <w:tbl>
      <w:tblPr>
        <w:tblStyle w:val="4"/>
        <w:tblpPr w:leftFromText="180" w:rightFromText="180" w:vertAnchor="text" w:horzAnchor="page" w:tblpX="1816" w:tblpY="435"/>
        <w:tblOverlap w:val="never"/>
        <w:tblW w:w="9076"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6"/>
        <w:gridCol w:w="1050"/>
        <w:gridCol w:w="1583"/>
        <w:gridCol w:w="1067"/>
        <w:gridCol w:w="1250"/>
        <w:gridCol w:w="1417"/>
        <w:gridCol w:w="966"/>
        <w:gridCol w:w="1217"/>
      </w:tblGrid>
      <w:tr w14:paraId="0F65187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051" w:hRule="atLeast"/>
        </w:trPr>
        <w:tc>
          <w:tcPr>
            <w:tcW w:w="526" w:type="dxa"/>
            <w:vMerge w:val="restart"/>
            <w:tcBorders>
              <w:top w:val="single" w:color="000000" w:sz="6" w:space="0"/>
              <w:left w:val="single" w:color="000000" w:sz="6" w:space="0"/>
              <w:right w:val="single" w:color="000000" w:sz="6" w:space="0"/>
            </w:tcBorders>
            <w:shd w:val="clear" w:color="auto" w:fill="auto"/>
            <w:tcMar>
              <w:top w:w="75" w:type="dxa"/>
              <w:left w:w="105" w:type="dxa"/>
              <w:bottom w:w="75" w:type="dxa"/>
              <w:right w:w="105" w:type="dxa"/>
            </w:tcMar>
            <w:vAlign w:val="center"/>
          </w:tcPr>
          <w:p w14:paraId="67FCA2B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050" w:type="dxa"/>
            <w:vMerge w:val="restart"/>
            <w:tcBorders>
              <w:top w:val="single" w:color="000000" w:sz="6" w:space="0"/>
              <w:left w:val="single" w:color="000000" w:sz="6" w:space="0"/>
              <w:right w:val="single" w:color="000000" w:sz="6" w:space="0"/>
            </w:tcBorders>
            <w:shd w:val="clear" w:color="auto" w:fill="auto"/>
            <w:tcMar>
              <w:top w:w="75" w:type="dxa"/>
              <w:left w:w="105" w:type="dxa"/>
              <w:bottom w:w="75" w:type="dxa"/>
              <w:right w:w="105" w:type="dxa"/>
            </w:tcMar>
            <w:vAlign w:val="center"/>
          </w:tcPr>
          <w:p w14:paraId="76DFB9D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1583" w:type="dxa"/>
            <w:vMerge w:val="restart"/>
            <w:tcBorders>
              <w:top w:val="single" w:color="000000" w:sz="6" w:space="0"/>
              <w:left w:val="single" w:color="000000" w:sz="6" w:space="0"/>
              <w:right w:val="single" w:color="000000" w:sz="6" w:space="0"/>
            </w:tcBorders>
            <w:shd w:val="clear" w:color="auto" w:fill="auto"/>
            <w:tcMar>
              <w:top w:w="75" w:type="dxa"/>
              <w:left w:w="105" w:type="dxa"/>
              <w:bottom w:w="75" w:type="dxa"/>
              <w:right w:w="105" w:type="dxa"/>
            </w:tcMar>
            <w:vAlign w:val="center"/>
          </w:tcPr>
          <w:p w14:paraId="43B0F9D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p>
        </w:tc>
        <w:tc>
          <w:tcPr>
            <w:tcW w:w="3734" w:type="dxa"/>
            <w:gridSpan w:val="3"/>
            <w:tcBorders>
              <w:top w:val="single" w:color="000000" w:sz="6" w:space="0"/>
              <w:left w:val="single" w:color="000000" w:sz="6" w:space="0"/>
              <w:bottom w:val="single" w:color="auto" w:sz="4" w:space="0"/>
              <w:right w:val="single" w:color="000000" w:sz="6" w:space="0"/>
            </w:tcBorders>
            <w:shd w:val="clear" w:color="auto" w:fill="auto"/>
            <w:tcMar>
              <w:top w:w="75" w:type="dxa"/>
              <w:left w:w="105" w:type="dxa"/>
              <w:bottom w:w="75" w:type="dxa"/>
              <w:right w:w="105" w:type="dxa"/>
            </w:tcMar>
            <w:vAlign w:val="center"/>
          </w:tcPr>
          <w:p w14:paraId="53AEB2C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变更内容</w:t>
            </w:r>
          </w:p>
        </w:tc>
        <w:tc>
          <w:tcPr>
            <w:tcW w:w="966" w:type="dxa"/>
            <w:vMerge w:val="restart"/>
            <w:tcBorders>
              <w:top w:val="single" w:color="000000" w:sz="6" w:space="0"/>
              <w:left w:val="single" w:color="000000" w:sz="6" w:space="0"/>
              <w:right w:val="single" w:color="000000" w:sz="6" w:space="0"/>
            </w:tcBorders>
            <w:shd w:val="clear" w:color="auto" w:fill="auto"/>
            <w:tcMar>
              <w:top w:w="75" w:type="dxa"/>
              <w:left w:w="105" w:type="dxa"/>
              <w:bottom w:w="75" w:type="dxa"/>
              <w:right w:w="105" w:type="dxa"/>
            </w:tcMar>
            <w:vAlign w:val="center"/>
          </w:tcPr>
          <w:p w14:paraId="65070A0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业务主管单位</w:t>
            </w:r>
          </w:p>
        </w:tc>
        <w:tc>
          <w:tcPr>
            <w:tcW w:w="1217" w:type="dxa"/>
            <w:vMerge w:val="restart"/>
            <w:tcBorders>
              <w:top w:val="single" w:color="000000" w:sz="6" w:space="0"/>
              <w:left w:val="single" w:color="000000" w:sz="6" w:space="0"/>
              <w:right w:val="single" w:color="000000" w:sz="6" w:space="0"/>
            </w:tcBorders>
            <w:shd w:val="clear" w:color="auto" w:fill="auto"/>
            <w:tcMar>
              <w:top w:w="75" w:type="dxa"/>
              <w:left w:w="105" w:type="dxa"/>
              <w:bottom w:w="75" w:type="dxa"/>
              <w:right w:w="105" w:type="dxa"/>
            </w:tcMar>
            <w:vAlign w:val="center"/>
          </w:tcPr>
          <w:p w14:paraId="53DE233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变更日期</w:t>
            </w:r>
          </w:p>
        </w:tc>
      </w:tr>
      <w:tr w14:paraId="29F4134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93" w:hRule="atLeast"/>
        </w:trPr>
        <w:tc>
          <w:tcPr>
            <w:tcW w:w="526" w:type="dxa"/>
            <w:vMerge w:val="continue"/>
            <w:tcBorders>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904699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1050" w:type="dxa"/>
            <w:vMerge w:val="continue"/>
            <w:tcBorders>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642426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1583" w:type="dxa"/>
            <w:vMerge w:val="continue"/>
            <w:tcBorders>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C1D799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1067" w:type="dxa"/>
            <w:tcBorders>
              <w:top w:val="single" w:color="auto" w:sz="4" w:space="0"/>
              <w:left w:val="single" w:color="000000" w:sz="6" w:space="0"/>
              <w:bottom w:val="single" w:color="000000" w:sz="6" w:space="0"/>
              <w:right w:val="single" w:color="auto" w:sz="4" w:space="0"/>
            </w:tcBorders>
            <w:shd w:val="clear" w:color="auto" w:fill="auto"/>
            <w:tcMar>
              <w:top w:w="75" w:type="dxa"/>
              <w:left w:w="105" w:type="dxa"/>
              <w:bottom w:w="75" w:type="dxa"/>
              <w:right w:w="105" w:type="dxa"/>
            </w:tcMar>
            <w:vAlign w:val="center"/>
          </w:tcPr>
          <w:p w14:paraId="2FD5023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变更事项</w:t>
            </w:r>
          </w:p>
        </w:tc>
        <w:tc>
          <w:tcPr>
            <w:tcW w:w="1250" w:type="dxa"/>
            <w:tcBorders>
              <w:top w:val="single" w:color="auto" w:sz="4" w:space="0"/>
              <w:left w:val="single" w:color="auto" w:sz="4" w:space="0"/>
              <w:bottom w:val="single" w:color="000000" w:sz="6" w:space="0"/>
              <w:right w:val="single" w:color="auto" w:sz="4" w:space="0"/>
            </w:tcBorders>
            <w:shd w:val="clear" w:color="auto" w:fill="auto"/>
            <w:tcMar>
              <w:top w:w="75" w:type="dxa"/>
              <w:left w:w="105" w:type="dxa"/>
              <w:bottom w:w="75" w:type="dxa"/>
              <w:right w:w="105" w:type="dxa"/>
            </w:tcMar>
            <w:vAlign w:val="center"/>
          </w:tcPr>
          <w:p w14:paraId="0FFCDB3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变更前</w:t>
            </w:r>
          </w:p>
        </w:tc>
        <w:tc>
          <w:tcPr>
            <w:tcW w:w="1417" w:type="dxa"/>
            <w:tcBorders>
              <w:top w:val="single" w:color="auto" w:sz="4" w:space="0"/>
              <w:left w:val="single" w:color="auto" w:sz="4"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8FC367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变更后</w:t>
            </w:r>
          </w:p>
        </w:tc>
        <w:tc>
          <w:tcPr>
            <w:tcW w:w="966" w:type="dxa"/>
            <w:vMerge w:val="continue"/>
            <w:tcBorders>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262701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1217" w:type="dxa"/>
            <w:vMerge w:val="continue"/>
            <w:tcBorders>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02E221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sz w:val="28"/>
                <w:szCs w:val="28"/>
              </w:rPr>
            </w:pPr>
          </w:p>
        </w:tc>
      </w:tr>
      <w:tr w14:paraId="53302C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2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99E5F4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C2DE51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释迦乐幼儿园</w:t>
            </w:r>
          </w:p>
        </w:tc>
        <w:tc>
          <w:tcPr>
            <w:tcW w:w="158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1FC6191">
            <w:pPr>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51430811753396249N</w:t>
            </w:r>
          </w:p>
        </w:tc>
        <w:tc>
          <w:tcPr>
            <w:tcW w:w="1067" w:type="dxa"/>
            <w:tcBorders>
              <w:top w:val="single" w:color="000000" w:sz="6" w:space="0"/>
              <w:left w:val="single" w:color="000000" w:sz="6" w:space="0"/>
              <w:bottom w:val="single" w:color="000000" w:sz="6" w:space="0"/>
              <w:right w:val="single" w:color="auto" w:sz="4" w:space="0"/>
            </w:tcBorders>
            <w:shd w:val="clear" w:color="auto" w:fill="auto"/>
            <w:tcMar>
              <w:top w:w="75" w:type="dxa"/>
              <w:left w:w="105" w:type="dxa"/>
              <w:bottom w:w="75" w:type="dxa"/>
              <w:right w:w="105" w:type="dxa"/>
            </w:tcMar>
            <w:vAlign w:val="center"/>
          </w:tcPr>
          <w:p w14:paraId="0EDF707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业务范围变更</w:t>
            </w:r>
          </w:p>
        </w:tc>
        <w:tc>
          <w:tcPr>
            <w:tcW w:w="1250" w:type="dxa"/>
            <w:tcBorders>
              <w:top w:val="single" w:color="000000" w:sz="6" w:space="0"/>
              <w:left w:val="single" w:color="auto" w:sz="4" w:space="0"/>
              <w:bottom w:val="single" w:color="000000" w:sz="6" w:space="0"/>
              <w:right w:val="single" w:color="auto" w:sz="4" w:space="0"/>
            </w:tcBorders>
            <w:shd w:val="clear" w:color="auto" w:fill="auto"/>
            <w:tcMar>
              <w:top w:w="75" w:type="dxa"/>
              <w:left w:w="105" w:type="dxa"/>
              <w:bottom w:w="75" w:type="dxa"/>
              <w:right w:w="105" w:type="dxa"/>
            </w:tcMar>
            <w:vAlign w:val="center"/>
          </w:tcPr>
          <w:p w14:paraId="544C43B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3-6岁幼儿学前教育</w:t>
            </w:r>
          </w:p>
        </w:tc>
        <w:tc>
          <w:tcPr>
            <w:tcW w:w="1417" w:type="dxa"/>
            <w:tcBorders>
              <w:top w:val="single" w:color="000000" w:sz="6" w:space="0"/>
              <w:left w:val="single" w:color="auto" w:sz="4"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948574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0-3岁婴幼儿入托、3-6岁幼儿学前教育</w:t>
            </w:r>
          </w:p>
        </w:tc>
        <w:tc>
          <w:tcPr>
            <w:tcW w:w="96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4D7CF5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武陵源区教育局</w:t>
            </w:r>
          </w:p>
        </w:tc>
        <w:tc>
          <w:tcPr>
            <w:tcW w:w="121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E88700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2024年10月14日</w:t>
            </w:r>
          </w:p>
        </w:tc>
      </w:tr>
    </w:tbl>
    <w:p w14:paraId="006E54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xml:space="preserve">　　                                                                            </w:t>
      </w:r>
      <w:r>
        <w:rPr>
          <w:rFonts w:hint="eastAsia" w:ascii="仿宋_GB2312" w:hAnsi="仿宋_GB2312" w:eastAsia="仿宋_GB2312" w:cs="仿宋_GB2312"/>
          <w:i w:val="0"/>
          <w:iCs w:val="0"/>
          <w:caps w:val="0"/>
          <w:color w:val="000000"/>
          <w:spacing w:val="0"/>
          <w:sz w:val="32"/>
          <w:szCs w:val="32"/>
          <w:shd w:val="clear" w:fill="FFFFFF"/>
          <w:lang w:val="en-US" w:eastAsia="zh-CN"/>
        </w:rPr>
        <w:t>张家界市武陵源区</w:t>
      </w:r>
      <w:r>
        <w:rPr>
          <w:rFonts w:hint="eastAsia" w:ascii="仿宋_GB2312" w:hAnsi="仿宋_GB2312" w:eastAsia="仿宋_GB2312" w:cs="仿宋_GB2312"/>
          <w:i w:val="0"/>
          <w:iCs w:val="0"/>
          <w:caps w:val="0"/>
          <w:color w:val="000000"/>
          <w:spacing w:val="0"/>
          <w:sz w:val="32"/>
          <w:szCs w:val="32"/>
          <w:shd w:val="clear" w:fill="FFFFFF"/>
        </w:rPr>
        <w:t>民政</w:t>
      </w:r>
      <w:r>
        <w:rPr>
          <w:rFonts w:hint="eastAsia" w:ascii="仿宋_GB2312" w:hAnsi="仿宋_GB2312" w:eastAsia="仿宋_GB2312" w:cs="仿宋_GB2312"/>
          <w:i w:val="0"/>
          <w:iCs w:val="0"/>
          <w:caps w:val="0"/>
          <w:color w:val="000000"/>
          <w:spacing w:val="0"/>
          <w:sz w:val="32"/>
          <w:szCs w:val="32"/>
          <w:shd w:val="clear" w:fill="FFFFFF"/>
          <w:lang w:val="en-US" w:eastAsia="zh-CN"/>
        </w:rPr>
        <w:t>和人力资源社会保障</w:t>
      </w:r>
      <w:r>
        <w:rPr>
          <w:rFonts w:hint="eastAsia" w:ascii="仿宋_GB2312" w:hAnsi="仿宋_GB2312" w:eastAsia="仿宋_GB2312" w:cs="仿宋_GB2312"/>
          <w:i w:val="0"/>
          <w:iCs w:val="0"/>
          <w:caps w:val="0"/>
          <w:color w:val="000000"/>
          <w:spacing w:val="0"/>
          <w:sz w:val="32"/>
          <w:szCs w:val="32"/>
          <w:shd w:val="clear" w:fill="FFFFFF"/>
        </w:rPr>
        <w:t>局</w:t>
      </w:r>
    </w:p>
    <w:p w14:paraId="5C8803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xml:space="preserve">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 2024年</w:t>
      </w:r>
      <w:r>
        <w:rPr>
          <w:rFonts w:hint="eastAsia" w:ascii="仿宋_GB2312" w:hAnsi="仿宋_GB2312" w:eastAsia="仿宋_GB2312" w:cs="仿宋_GB2312"/>
          <w:i w:val="0"/>
          <w:iCs w:val="0"/>
          <w:caps w:val="0"/>
          <w:color w:val="000000"/>
          <w:spacing w:val="0"/>
          <w:sz w:val="32"/>
          <w:szCs w:val="32"/>
          <w:shd w:val="clear" w:fill="FFFFFF"/>
          <w:lang w:val="en-US" w:eastAsia="zh-CN"/>
        </w:rPr>
        <w:t>10</w:t>
      </w:r>
      <w:r>
        <w:rPr>
          <w:rFonts w:hint="eastAsia" w:ascii="仿宋_GB2312" w:hAnsi="仿宋_GB2312" w:eastAsia="仿宋_GB2312" w:cs="仿宋_GB2312"/>
          <w:i w:val="0"/>
          <w:iCs w:val="0"/>
          <w:caps w:val="0"/>
          <w:color w:val="000000"/>
          <w:spacing w:val="0"/>
          <w:sz w:val="32"/>
          <w:szCs w:val="32"/>
          <w:shd w:val="clear" w:fill="FFFFFF"/>
        </w:rPr>
        <w:t>月</w:t>
      </w:r>
      <w:r>
        <w:rPr>
          <w:rFonts w:hint="eastAsia" w:ascii="仿宋_GB2312" w:hAnsi="仿宋_GB2312" w:eastAsia="仿宋_GB2312" w:cs="仿宋_GB2312"/>
          <w:i w:val="0"/>
          <w:iCs w:val="0"/>
          <w:caps w:val="0"/>
          <w:color w:val="000000"/>
          <w:spacing w:val="0"/>
          <w:sz w:val="32"/>
          <w:szCs w:val="32"/>
          <w:shd w:val="clear" w:fill="FFFFFF"/>
          <w:lang w:val="en-US" w:eastAsia="zh-CN"/>
        </w:rPr>
        <w:t>14</w:t>
      </w:r>
      <w:r>
        <w:rPr>
          <w:rFonts w:hint="eastAsia" w:ascii="仿宋_GB2312" w:hAnsi="仿宋_GB2312" w:eastAsia="仿宋_GB2312" w:cs="仿宋_GB2312"/>
          <w:i w:val="0"/>
          <w:iCs w:val="0"/>
          <w:caps w:val="0"/>
          <w:color w:val="000000"/>
          <w:spacing w:val="0"/>
          <w:sz w:val="32"/>
          <w:szCs w:val="32"/>
          <w:shd w:val="clear" w:fill="FFFFFF"/>
        </w:rPr>
        <w:t>日</w:t>
      </w:r>
    </w:p>
    <w:p w14:paraId="309B179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MWEzNjM3MWJkMjg0YjEwODQ2MTQ0ZGM5MzBiZDQifQ=="/>
  </w:docVars>
  <w:rsids>
    <w:rsidRoot w:val="4B0A53D0"/>
    <w:rsid w:val="0E680D42"/>
    <w:rsid w:val="101471EE"/>
    <w:rsid w:val="20F23EEA"/>
    <w:rsid w:val="213F3B84"/>
    <w:rsid w:val="2E786815"/>
    <w:rsid w:val="4B0A53D0"/>
    <w:rsid w:val="576E23C7"/>
    <w:rsid w:val="75720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185</Words>
  <Characters>205</Characters>
  <Lines>0</Lines>
  <Paragraphs>0</Paragraphs>
  <TotalTime>15</TotalTime>
  <ScaleCrop>false</ScaleCrop>
  <LinksUpToDate>false</LinksUpToDate>
  <CharactersWithSpaces>340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2024-07-05T08:49:00Z</dcterms:created>
  <dc:creator>随风</dc:creator>
  <cp:lastModifiedBy>随风</cp:lastModifiedBy>
  <dcterms:modified xsi:type="dcterms:W3CDTF">2024-10-14T08:27:17Z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C5216194AFC54F049F13E05FA9AAE629_11</vt:lpwstr>
  </property>
</Properties>
</file>