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9350C3">
      <w:pPr>
        <w:ind w:firstLine="562" w:firstLineChars="200"/>
        <w:rPr>
          <w:b/>
          <w:bCs/>
        </w:rPr>
      </w:pPr>
      <w:r>
        <w:rPr>
          <w:rFonts w:hint="eastAsia"/>
          <w:b/>
          <w:bCs/>
        </w:rPr>
        <w:t>备案编号：</w:t>
      </w:r>
    </w:p>
    <w:p w14:paraId="5772E8A7">
      <w:pPr>
        <w:ind w:firstLine="0" w:firstLineChars="0"/>
      </w:pPr>
    </w:p>
    <w:p w14:paraId="0D9BA753">
      <w:pPr>
        <w:ind w:firstLine="0" w:firstLineChars="0"/>
      </w:pPr>
    </w:p>
    <w:p w14:paraId="7596917C">
      <w:pPr>
        <w:ind w:firstLine="0" w:firstLineChars="0"/>
        <w:jc w:val="center"/>
        <w:rPr>
          <w:b/>
          <w:bCs/>
          <w:sz w:val="48"/>
          <w:szCs w:val="48"/>
        </w:rPr>
      </w:pPr>
      <w:r>
        <w:rPr>
          <w:b/>
          <w:bCs/>
          <w:sz w:val="48"/>
          <w:szCs w:val="48"/>
        </w:rPr>
        <w:t>武陵源区董家峪水库饮用水水源地</w:t>
      </w:r>
    </w:p>
    <w:p w14:paraId="6607E3AD">
      <w:pPr>
        <w:ind w:firstLine="0" w:firstLineChars="0"/>
        <w:jc w:val="center"/>
        <w:rPr>
          <w:b/>
          <w:bCs/>
          <w:sz w:val="48"/>
          <w:szCs w:val="48"/>
        </w:rPr>
      </w:pPr>
      <w:r>
        <w:rPr>
          <w:b/>
          <w:bCs/>
          <w:sz w:val="48"/>
          <w:szCs w:val="48"/>
        </w:rPr>
        <w:t>突发环境事件</w:t>
      </w:r>
    </w:p>
    <w:p w14:paraId="49EB5A1A">
      <w:pPr>
        <w:wordWrap/>
        <w:ind w:firstLine="0" w:firstLineChars="0"/>
        <w:jc w:val="center"/>
        <w:rPr>
          <w:rFonts w:hint="eastAsia" w:ascii="Times New Roman" w:hAnsi="Times New Roman" w:eastAsia="宋体" w:cs="Times New Roman"/>
          <w:b/>
          <w:bCs/>
          <w:sz w:val="48"/>
          <w:szCs w:val="48"/>
          <w:lang w:eastAsia="zh-CN"/>
        </w:rPr>
      </w:pPr>
      <w:r>
        <w:rPr>
          <w:rFonts w:hint="eastAsia" w:ascii="Times New Roman" w:hAnsi="Times New Roman" w:eastAsia="宋体" w:cs="Times New Roman"/>
          <w:b/>
          <w:bCs/>
          <w:sz w:val="48"/>
          <w:szCs w:val="48"/>
          <w:lang w:eastAsia="zh-CN"/>
        </w:rPr>
        <w:t>（</w:t>
      </w:r>
      <w:r>
        <w:rPr>
          <w:rFonts w:hint="eastAsia" w:cs="Times New Roman"/>
          <w:b/>
          <w:bCs/>
          <w:sz w:val="48"/>
          <w:szCs w:val="48"/>
          <w:lang w:val="en-US" w:eastAsia="zh-CN"/>
        </w:rPr>
        <w:t>2024修订版</w:t>
      </w:r>
      <w:r>
        <w:rPr>
          <w:rFonts w:hint="eastAsia" w:ascii="Times New Roman" w:hAnsi="Times New Roman" w:eastAsia="宋体" w:cs="Times New Roman"/>
          <w:b/>
          <w:bCs/>
          <w:sz w:val="48"/>
          <w:szCs w:val="48"/>
          <w:lang w:eastAsia="zh-CN"/>
        </w:rPr>
        <w:t>）</w:t>
      </w:r>
    </w:p>
    <w:p w14:paraId="5DCE1AAC">
      <w:pPr>
        <w:ind w:firstLine="0" w:firstLineChars="0"/>
        <w:jc w:val="center"/>
        <w:rPr>
          <w:b/>
          <w:bCs/>
          <w:sz w:val="48"/>
          <w:szCs w:val="48"/>
        </w:rPr>
      </w:pPr>
    </w:p>
    <w:p w14:paraId="40A4ABD0">
      <w:pPr>
        <w:ind w:firstLine="0" w:firstLineChars="0"/>
        <w:jc w:val="center"/>
        <w:rPr>
          <w:b/>
          <w:bCs/>
          <w:sz w:val="48"/>
          <w:szCs w:val="48"/>
        </w:rPr>
      </w:pPr>
    </w:p>
    <w:p w14:paraId="2BDDB6E2">
      <w:pPr>
        <w:ind w:firstLine="0" w:firstLineChars="0"/>
        <w:jc w:val="center"/>
        <w:rPr>
          <w:b/>
          <w:bCs/>
          <w:sz w:val="48"/>
          <w:szCs w:val="48"/>
        </w:rPr>
      </w:pPr>
    </w:p>
    <w:p w14:paraId="05D9EE39">
      <w:pPr>
        <w:ind w:firstLine="0" w:firstLineChars="0"/>
        <w:jc w:val="center"/>
        <w:rPr>
          <w:b/>
          <w:bCs/>
          <w:sz w:val="48"/>
          <w:szCs w:val="48"/>
        </w:rPr>
      </w:pPr>
    </w:p>
    <w:p w14:paraId="5B3ED9B3">
      <w:pPr>
        <w:ind w:firstLine="0" w:firstLineChars="0"/>
        <w:jc w:val="center"/>
        <w:rPr>
          <w:b/>
          <w:bCs/>
          <w:sz w:val="48"/>
          <w:szCs w:val="48"/>
        </w:rPr>
      </w:pPr>
    </w:p>
    <w:p w14:paraId="45CA166E">
      <w:pPr>
        <w:ind w:firstLine="0" w:firstLineChars="0"/>
        <w:jc w:val="center"/>
        <w:rPr>
          <w:b/>
          <w:bCs/>
          <w:sz w:val="48"/>
          <w:szCs w:val="48"/>
        </w:rPr>
      </w:pPr>
    </w:p>
    <w:p w14:paraId="2D144CF9">
      <w:pPr>
        <w:ind w:firstLine="0" w:firstLineChars="0"/>
        <w:jc w:val="center"/>
        <w:rPr>
          <w:rFonts w:hint="eastAsia" w:eastAsia="宋体"/>
          <w:b/>
          <w:bCs/>
          <w:sz w:val="72"/>
          <w:szCs w:val="72"/>
          <w:lang w:eastAsia="zh-CN"/>
        </w:rPr>
      </w:pPr>
      <w:r>
        <w:rPr>
          <w:b/>
          <w:bCs/>
          <w:sz w:val="72"/>
          <w:szCs w:val="72"/>
        </w:rPr>
        <w:t>应急预案</w:t>
      </w:r>
    </w:p>
    <w:p w14:paraId="6BA06527">
      <w:pPr>
        <w:ind w:firstLine="0" w:firstLineChars="0"/>
      </w:pPr>
    </w:p>
    <w:p w14:paraId="65712B9B">
      <w:pPr>
        <w:ind w:firstLine="0" w:firstLineChars="0"/>
        <w:jc w:val="center"/>
      </w:pPr>
    </w:p>
    <w:p w14:paraId="7FB04329">
      <w:pPr>
        <w:ind w:firstLine="0" w:firstLineChars="0"/>
        <w:jc w:val="center"/>
        <w:rPr>
          <w:rFonts w:ascii="宋体" w:hAnsi="宋体" w:cs="宋体"/>
          <w:b/>
          <w:bCs/>
          <w:sz w:val="36"/>
          <w:szCs w:val="36"/>
        </w:rPr>
      </w:pPr>
    </w:p>
    <w:p w14:paraId="43E716EE">
      <w:pPr>
        <w:ind w:firstLine="0" w:firstLineChars="0"/>
        <w:jc w:val="center"/>
        <w:rPr>
          <w:b/>
          <w:bCs/>
          <w:sz w:val="48"/>
          <w:szCs w:val="48"/>
        </w:rPr>
      </w:pPr>
    </w:p>
    <w:p w14:paraId="1471BE21">
      <w:pPr>
        <w:ind w:firstLine="0" w:firstLineChars="0"/>
        <w:jc w:val="center"/>
        <w:rPr>
          <w:b/>
          <w:bCs/>
          <w:sz w:val="48"/>
          <w:szCs w:val="48"/>
        </w:rPr>
      </w:pPr>
    </w:p>
    <w:p w14:paraId="5510CE15">
      <w:pPr>
        <w:ind w:firstLine="0" w:firstLineChars="0"/>
        <w:jc w:val="center"/>
        <w:rPr>
          <w:b/>
          <w:bCs/>
          <w:sz w:val="44"/>
          <w:szCs w:val="44"/>
        </w:rPr>
      </w:pPr>
      <w:r>
        <w:rPr>
          <w:b/>
          <w:bCs/>
          <w:sz w:val="44"/>
          <w:szCs w:val="44"/>
        </w:rPr>
        <w:t>组织单位：武陵源</w:t>
      </w:r>
      <w:r>
        <w:rPr>
          <w:rFonts w:hint="eastAsia"/>
          <w:b/>
          <w:bCs/>
          <w:sz w:val="44"/>
          <w:szCs w:val="44"/>
        </w:rPr>
        <w:t>区</w:t>
      </w:r>
      <w:r>
        <w:rPr>
          <w:b/>
          <w:bCs/>
          <w:sz w:val="44"/>
          <w:szCs w:val="44"/>
        </w:rPr>
        <w:t>人民政府</w:t>
      </w:r>
    </w:p>
    <w:p w14:paraId="64BD5FE4">
      <w:pPr>
        <w:ind w:firstLine="0" w:firstLineChars="0"/>
        <w:jc w:val="center"/>
        <w:rPr>
          <w:rFonts w:hint="eastAsia"/>
          <w:b/>
          <w:bCs/>
          <w:sz w:val="44"/>
          <w:szCs w:val="44"/>
        </w:rPr>
      </w:pPr>
      <w:r>
        <w:rPr>
          <w:rFonts w:hint="eastAsia"/>
          <w:b/>
          <w:bCs/>
          <w:sz w:val="44"/>
          <w:szCs w:val="44"/>
        </w:rPr>
        <w:t>编制单位：湖南蔚为环保科技有限公司</w:t>
      </w:r>
    </w:p>
    <w:p w14:paraId="48B46D2E">
      <w:pPr>
        <w:ind w:firstLine="0" w:firstLineChars="0"/>
        <w:jc w:val="center"/>
        <w:rPr>
          <w:b/>
          <w:bCs/>
          <w:sz w:val="44"/>
          <w:szCs w:val="44"/>
        </w:rPr>
        <w:sectPr>
          <w:pgSz w:w="11906" w:h="16838"/>
          <w:pgMar w:top="1134" w:right="1531" w:bottom="1361" w:left="1531" w:header="851" w:footer="992" w:gutter="0"/>
          <w:pgBorders>
            <w:top w:val="none" w:sz="0" w:space="0"/>
            <w:left w:val="none" w:sz="0" w:space="0"/>
            <w:bottom w:val="none" w:sz="0" w:space="0"/>
            <w:right w:val="none" w:sz="0" w:space="0"/>
          </w:pgBorders>
          <w:pgNumType w:start="1"/>
          <w:cols w:space="720" w:num="1"/>
          <w:docGrid w:type="lines" w:linePitch="312" w:charSpace="0"/>
        </w:sectPr>
      </w:pPr>
    </w:p>
    <w:sdt>
      <w:sdtPr>
        <w:rPr>
          <w:rFonts w:ascii="宋体" w:hAnsi="宋体" w:eastAsia="宋体" w:cs="Times New Roman"/>
          <w:kern w:val="2"/>
          <w:sz w:val="21"/>
          <w:szCs w:val="28"/>
          <w:lang w:val="en-US" w:eastAsia="zh-CN" w:bidi="ar-SA"/>
        </w:rPr>
        <w:id w:val="147477941"/>
        <w15:color w:val="DBDBDB"/>
        <w:docPartObj>
          <w:docPartGallery w:val="Table of Contents"/>
          <w:docPartUnique/>
        </w:docPartObj>
      </w:sdtPr>
      <w:sdtEndPr>
        <w:rPr>
          <w:rFonts w:ascii="宋体" w:hAnsi="宋体" w:eastAsia="宋体" w:cs="Times New Roman"/>
          <w:kern w:val="2"/>
          <w:sz w:val="21"/>
          <w:szCs w:val="28"/>
          <w:lang w:val="en-US" w:eastAsia="zh-CN" w:bidi="ar-SA"/>
        </w:rPr>
      </w:sdtEndPr>
      <w:sdtContent>
        <w:p w14:paraId="726E557E">
          <w:pPr>
            <w:spacing w:before="0" w:beforeLines="0" w:after="0" w:afterLines="0" w:line="240" w:lineRule="auto"/>
            <w:ind w:left="0" w:leftChars="0" w:right="0" w:rightChars="0" w:firstLine="0" w:firstLineChars="0"/>
            <w:jc w:val="center"/>
          </w:pPr>
          <w:bookmarkStart w:id="0" w:name="_Toc8143"/>
          <w:bookmarkStart w:id="1" w:name="_Toc3863"/>
          <w:bookmarkStart w:id="2" w:name="_Toc5573"/>
          <w:bookmarkStart w:id="3" w:name="_Toc22809"/>
          <w:bookmarkStart w:id="4" w:name="_Toc4013"/>
          <w:bookmarkStart w:id="5" w:name="_Toc15353"/>
          <w:r>
            <w:rPr>
              <w:rFonts w:ascii="宋体" w:hAnsi="宋体" w:eastAsia="宋体"/>
              <w:sz w:val="21"/>
            </w:rPr>
            <w:t>目录</w:t>
          </w:r>
        </w:p>
        <w:p w14:paraId="1551344D">
          <w:pPr>
            <w:pStyle w:val="16"/>
            <w:tabs>
              <w:tab w:val="right" w:leader="dot" w:pos="8844"/>
              <w:tab w:val="clear" w:pos="8777"/>
            </w:tabs>
          </w:pPr>
          <w:r>
            <w:fldChar w:fldCharType="begin"/>
          </w:r>
          <w:r>
            <w:instrText xml:space="preserve">TOC \o "1-3" \h \u </w:instrText>
          </w:r>
          <w:r>
            <w:fldChar w:fldCharType="separate"/>
          </w:r>
          <w:r>
            <w:fldChar w:fldCharType="begin"/>
          </w:r>
          <w:r>
            <w:instrText xml:space="preserve"> HYPERLINK \l _Toc12563 </w:instrText>
          </w:r>
          <w:r>
            <w:fldChar w:fldCharType="separate"/>
          </w:r>
          <w:r>
            <w:rPr>
              <w:rFonts w:hint="eastAsia" w:ascii="Cambria" w:hAnsi="Cambria" w:eastAsia="宋体" w:cs="Times New Roman"/>
              <w:bCs/>
              <w:kern w:val="2"/>
              <w:szCs w:val="32"/>
              <w:lang w:val="en-US" w:eastAsia="zh-CN" w:bidi="ar-SA"/>
            </w:rPr>
            <w:t>1</w:t>
          </w:r>
          <w:r>
            <w:rPr>
              <w:rFonts w:ascii="Cambria" w:hAnsi="Cambria" w:eastAsia="宋体" w:cs="Times New Roman"/>
              <w:bCs/>
              <w:kern w:val="2"/>
              <w:szCs w:val="32"/>
              <w:lang w:val="en-US" w:eastAsia="zh-CN" w:bidi="ar-SA"/>
            </w:rPr>
            <w:t>、总则</w:t>
          </w:r>
          <w:r>
            <w:tab/>
          </w:r>
          <w:r>
            <w:fldChar w:fldCharType="begin"/>
          </w:r>
          <w:r>
            <w:instrText xml:space="preserve"> PAGEREF _Toc12563 \h </w:instrText>
          </w:r>
          <w:r>
            <w:fldChar w:fldCharType="separate"/>
          </w:r>
          <w:r>
            <w:t>1</w:t>
          </w:r>
          <w:r>
            <w:fldChar w:fldCharType="end"/>
          </w:r>
          <w:r>
            <w:fldChar w:fldCharType="end"/>
          </w:r>
        </w:p>
        <w:p w14:paraId="18A0297C">
          <w:pPr>
            <w:pStyle w:val="12"/>
            <w:tabs>
              <w:tab w:val="right" w:leader="dot" w:pos="8844"/>
              <w:tab w:val="clear" w:pos="8777"/>
            </w:tabs>
          </w:pPr>
          <w:r>
            <w:fldChar w:fldCharType="begin"/>
          </w:r>
          <w:r>
            <w:instrText xml:space="preserve"> HYPERLINK \l _Toc20258 </w:instrText>
          </w:r>
          <w:r>
            <w:fldChar w:fldCharType="separate"/>
          </w:r>
          <w:r>
            <w:rPr>
              <w:rFonts w:ascii="Times New Roman" w:hAnsi="Times New Roman" w:eastAsia="宋体" w:cs="Times New Roman"/>
              <w:bCs/>
              <w:kern w:val="2"/>
              <w:szCs w:val="32"/>
              <w:lang w:val="en-US" w:eastAsia="zh-CN" w:bidi="ar-SA"/>
            </w:rPr>
            <w:t>1.1编制目的</w:t>
          </w:r>
          <w:r>
            <w:tab/>
          </w:r>
          <w:r>
            <w:fldChar w:fldCharType="begin"/>
          </w:r>
          <w:r>
            <w:instrText xml:space="preserve"> PAGEREF _Toc20258 \h </w:instrText>
          </w:r>
          <w:r>
            <w:fldChar w:fldCharType="separate"/>
          </w:r>
          <w:r>
            <w:t>1</w:t>
          </w:r>
          <w:r>
            <w:fldChar w:fldCharType="end"/>
          </w:r>
          <w:r>
            <w:fldChar w:fldCharType="end"/>
          </w:r>
        </w:p>
        <w:p w14:paraId="5CD7B5F2">
          <w:pPr>
            <w:pStyle w:val="12"/>
            <w:tabs>
              <w:tab w:val="right" w:leader="dot" w:pos="8844"/>
              <w:tab w:val="clear" w:pos="8777"/>
            </w:tabs>
          </w:pPr>
          <w:r>
            <w:fldChar w:fldCharType="begin"/>
          </w:r>
          <w:r>
            <w:instrText xml:space="preserve"> HYPERLINK \l _Toc27892 </w:instrText>
          </w:r>
          <w:r>
            <w:fldChar w:fldCharType="separate"/>
          </w:r>
          <w:r>
            <w:rPr>
              <w:rFonts w:ascii="Times New Roman" w:hAnsi="Times New Roman" w:eastAsia="宋体" w:cs="Times New Roman"/>
              <w:bCs/>
              <w:kern w:val="2"/>
              <w:szCs w:val="32"/>
              <w:lang w:val="en-US" w:eastAsia="zh-CN" w:bidi="ar-SA"/>
            </w:rPr>
            <w:t>1.2编制依据</w:t>
          </w:r>
          <w:r>
            <w:tab/>
          </w:r>
          <w:r>
            <w:fldChar w:fldCharType="begin"/>
          </w:r>
          <w:r>
            <w:instrText xml:space="preserve"> PAGEREF _Toc27892 \h </w:instrText>
          </w:r>
          <w:r>
            <w:fldChar w:fldCharType="separate"/>
          </w:r>
          <w:r>
            <w:t>1</w:t>
          </w:r>
          <w:r>
            <w:fldChar w:fldCharType="end"/>
          </w:r>
          <w:r>
            <w:fldChar w:fldCharType="end"/>
          </w:r>
        </w:p>
        <w:p w14:paraId="66EBF829">
          <w:pPr>
            <w:pStyle w:val="12"/>
            <w:tabs>
              <w:tab w:val="right" w:leader="dot" w:pos="8844"/>
              <w:tab w:val="clear" w:pos="8777"/>
            </w:tabs>
          </w:pPr>
          <w:r>
            <w:fldChar w:fldCharType="begin"/>
          </w:r>
          <w:r>
            <w:instrText xml:space="preserve"> HYPERLINK \l _Toc3116 </w:instrText>
          </w:r>
          <w:r>
            <w:fldChar w:fldCharType="separate"/>
          </w:r>
          <w:r>
            <w:rPr>
              <w:rFonts w:ascii="Times New Roman" w:hAnsi="Times New Roman" w:eastAsia="宋体" w:cs="Times New Roman"/>
              <w:bCs/>
              <w:kern w:val="2"/>
              <w:szCs w:val="32"/>
              <w:lang w:val="en-US" w:eastAsia="zh-CN" w:bidi="ar-SA"/>
            </w:rPr>
            <w:t>1.3适用范围</w:t>
          </w:r>
          <w:r>
            <w:tab/>
          </w:r>
          <w:r>
            <w:fldChar w:fldCharType="begin"/>
          </w:r>
          <w:r>
            <w:instrText xml:space="preserve"> PAGEREF _Toc3116 \h </w:instrText>
          </w:r>
          <w:r>
            <w:fldChar w:fldCharType="separate"/>
          </w:r>
          <w:r>
            <w:t>3</w:t>
          </w:r>
          <w:r>
            <w:fldChar w:fldCharType="end"/>
          </w:r>
          <w:r>
            <w:fldChar w:fldCharType="end"/>
          </w:r>
        </w:p>
        <w:p w14:paraId="2270D052">
          <w:pPr>
            <w:pStyle w:val="12"/>
            <w:tabs>
              <w:tab w:val="right" w:leader="dot" w:pos="8844"/>
              <w:tab w:val="clear" w:pos="8777"/>
            </w:tabs>
          </w:pPr>
          <w:r>
            <w:fldChar w:fldCharType="begin"/>
          </w:r>
          <w:r>
            <w:instrText xml:space="preserve"> HYPERLINK \l _Toc25194 </w:instrText>
          </w:r>
          <w:r>
            <w:fldChar w:fldCharType="separate"/>
          </w:r>
          <w:r>
            <w:rPr>
              <w:rFonts w:ascii="Times New Roman" w:hAnsi="Times New Roman" w:eastAsia="宋体" w:cs="Times New Roman"/>
              <w:bCs/>
              <w:kern w:val="2"/>
              <w:szCs w:val="32"/>
              <w:lang w:val="en-US" w:eastAsia="zh-CN" w:bidi="ar-SA"/>
            </w:rPr>
            <w:t>1.4预案衔接</w:t>
          </w:r>
          <w:r>
            <w:tab/>
          </w:r>
          <w:r>
            <w:fldChar w:fldCharType="begin"/>
          </w:r>
          <w:r>
            <w:instrText xml:space="preserve"> PAGEREF _Toc25194 \h </w:instrText>
          </w:r>
          <w:r>
            <w:fldChar w:fldCharType="separate"/>
          </w:r>
          <w:r>
            <w:t>4</w:t>
          </w:r>
          <w:r>
            <w:fldChar w:fldCharType="end"/>
          </w:r>
          <w:r>
            <w:fldChar w:fldCharType="end"/>
          </w:r>
        </w:p>
        <w:p w14:paraId="277901AE">
          <w:pPr>
            <w:pStyle w:val="12"/>
            <w:tabs>
              <w:tab w:val="right" w:leader="dot" w:pos="8844"/>
              <w:tab w:val="clear" w:pos="8777"/>
            </w:tabs>
          </w:pPr>
          <w:r>
            <w:fldChar w:fldCharType="begin"/>
          </w:r>
          <w:r>
            <w:instrText xml:space="preserve"> HYPERLINK \l _Toc10804 </w:instrText>
          </w:r>
          <w:r>
            <w:fldChar w:fldCharType="separate"/>
          </w:r>
          <w:r>
            <w:rPr>
              <w:rFonts w:ascii="Times New Roman" w:hAnsi="Times New Roman" w:eastAsia="宋体" w:cs="Times New Roman"/>
              <w:bCs/>
              <w:kern w:val="2"/>
              <w:szCs w:val="32"/>
              <w:lang w:val="en-US" w:eastAsia="zh-CN" w:bidi="ar-SA"/>
            </w:rPr>
            <w:t>1.5工作原则</w:t>
          </w:r>
          <w:r>
            <w:tab/>
          </w:r>
          <w:r>
            <w:fldChar w:fldCharType="begin"/>
          </w:r>
          <w:r>
            <w:instrText xml:space="preserve"> PAGEREF _Toc10804 \h </w:instrText>
          </w:r>
          <w:r>
            <w:fldChar w:fldCharType="separate"/>
          </w:r>
          <w:r>
            <w:t>6</w:t>
          </w:r>
          <w:r>
            <w:fldChar w:fldCharType="end"/>
          </w:r>
          <w:r>
            <w:fldChar w:fldCharType="end"/>
          </w:r>
        </w:p>
        <w:p w14:paraId="1836A5C1">
          <w:pPr>
            <w:pStyle w:val="16"/>
            <w:tabs>
              <w:tab w:val="right" w:leader="dot" w:pos="8844"/>
              <w:tab w:val="clear" w:pos="8777"/>
            </w:tabs>
          </w:pPr>
          <w:r>
            <w:fldChar w:fldCharType="begin"/>
          </w:r>
          <w:r>
            <w:instrText xml:space="preserve"> HYPERLINK \l _Toc184 </w:instrText>
          </w:r>
          <w:r>
            <w:fldChar w:fldCharType="separate"/>
          </w:r>
          <w:r>
            <w:rPr>
              <w:rFonts w:hint="eastAsia" w:ascii="Cambria" w:hAnsi="Cambria" w:eastAsia="宋体" w:cs="Times New Roman"/>
              <w:bCs/>
              <w:kern w:val="2"/>
              <w:szCs w:val="32"/>
              <w:lang w:val="en-US" w:eastAsia="zh-CN" w:bidi="ar-SA"/>
            </w:rPr>
            <w:t>2</w:t>
          </w:r>
          <w:r>
            <w:rPr>
              <w:rFonts w:ascii="Cambria" w:hAnsi="Cambria" w:eastAsia="宋体" w:cs="Times New Roman"/>
              <w:bCs/>
              <w:kern w:val="2"/>
              <w:szCs w:val="32"/>
              <w:lang w:val="en-US" w:eastAsia="zh-CN" w:bidi="ar-SA"/>
            </w:rPr>
            <w:t>、应急组织指挥体系</w:t>
          </w:r>
          <w:r>
            <w:tab/>
          </w:r>
          <w:r>
            <w:fldChar w:fldCharType="begin"/>
          </w:r>
          <w:r>
            <w:instrText xml:space="preserve"> PAGEREF _Toc184 \h </w:instrText>
          </w:r>
          <w:r>
            <w:fldChar w:fldCharType="separate"/>
          </w:r>
          <w:r>
            <w:t>7</w:t>
          </w:r>
          <w:r>
            <w:fldChar w:fldCharType="end"/>
          </w:r>
          <w:r>
            <w:fldChar w:fldCharType="end"/>
          </w:r>
        </w:p>
        <w:p w14:paraId="39C6BCDA">
          <w:pPr>
            <w:pStyle w:val="12"/>
            <w:tabs>
              <w:tab w:val="right" w:leader="dot" w:pos="8844"/>
              <w:tab w:val="clear" w:pos="8777"/>
            </w:tabs>
          </w:pPr>
          <w:r>
            <w:fldChar w:fldCharType="begin"/>
          </w:r>
          <w:r>
            <w:instrText xml:space="preserve"> HYPERLINK \l _Toc2868 </w:instrText>
          </w:r>
          <w:r>
            <w:fldChar w:fldCharType="separate"/>
          </w:r>
          <w:r>
            <w:rPr>
              <w:rFonts w:ascii="Times New Roman" w:hAnsi="Times New Roman" w:eastAsia="宋体" w:cs="Times New Roman"/>
              <w:bCs/>
              <w:kern w:val="2"/>
              <w:szCs w:val="32"/>
              <w:lang w:val="en-US" w:eastAsia="zh-CN" w:bidi="ar-SA"/>
            </w:rPr>
            <w:t>2.1应急指挥机构</w:t>
          </w:r>
          <w:r>
            <w:tab/>
          </w:r>
          <w:r>
            <w:fldChar w:fldCharType="begin"/>
          </w:r>
          <w:r>
            <w:instrText xml:space="preserve"> PAGEREF _Toc2868 \h </w:instrText>
          </w:r>
          <w:r>
            <w:fldChar w:fldCharType="separate"/>
          </w:r>
          <w:r>
            <w:t>10</w:t>
          </w:r>
          <w:r>
            <w:fldChar w:fldCharType="end"/>
          </w:r>
          <w:r>
            <w:fldChar w:fldCharType="end"/>
          </w:r>
        </w:p>
        <w:p w14:paraId="3D5D0D26">
          <w:pPr>
            <w:pStyle w:val="12"/>
            <w:tabs>
              <w:tab w:val="right" w:leader="dot" w:pos="8844"/>
              <w:tab w:val="clear" w:pos="8777"/>
            </w:tabs>
          </w:pPr>
          <w:r>
            <w:fldChar w:fldCharType="begin"/>
          </w:r>
          <w:r>
            <w:instrText xml:space="preserve"> HYPERLINK \l _Toc14997 </w:instrText>
          </w:r>
          <w:r>
            <w:fldChar w:fldCharType="separate"/>
          </w:r>
          <w:r>
            <w:rPr>
              <w:rFonts w:ascii="Times New Roman" w:hAnsi="Times New Roman" w:eastAsia="宋体" w:cs="Times New Roman"/>
              <w:bCs/>
              <w:kern w:val="2"/>
              <w:szCs w:val="32"/>
              <w:lang w:val="en-US" w:eastAsia="zh-CN" w:bidi="ar-SA"/>
            </w:rPr>
            <w:t>2.2现场应急指挥部</w:t>
          </w:r>
          <w:r>
            <w:tab/>
          </w:r>
          <w:r>
            <w:fldChar w:fldCharType="begin"/>
          </w:r>
          <w:r>
            <w:instrText xml:space="preserve"> PAGEREF _Toc14997 \h </w:instrText>
          </w:r>
          <w:r>
            <w:fldChar w:fldCharType="separate"/>
          </w:r>
          <w:r>
            <w:t>13</w:t>
          </w:r>
          <w:r>
            <w:fldChar w:fldCharType="end"/>
          </w:r>
          <w:r>
            <w:fldChar w:fldCharType="end"/>
          </w:r>
        </w:p>
        <w:p w14:paraId="738889BB">
          <w:pPr>
            <w:pStyle w:val="12"/>
            <w:tabs>
              <w:tab w:val="right" w:leader="dot" w:pos="8844"/>
              <w:tab w:val="clear" w:pos="8777"/>
            </w:tabs>
          </w:pPr>
          <w:r>
            <w:fldChar w:fldCharType="begin"/>
          </w:r>
          <w:r>
            <w:instrText xml:space="preserve"> HYPERLINK \l _Toc5416 </w:instrText>
          </w:r>
          <w:r>
            <w:fldChar w:fldCharType="separate"/>
          </w:r>
          <w:r>
            <w:rPr>
              <w:rFonts w:ascii="Times New Roman" w:hAnsi="Times New Roman" w:eastAsia="宋体" w:cs="Times New Roman"/>
              <w:bCs/>
              <w:kern w:val="2"/>
              <w:szCs w:val="32"/>
              <w:lang w:val="en-US" w:eastAsia="zh-CN" w:bidi="ar-SA"/>
            </w:rPr>
            <w:t>2.3现场应急工作组</w:t>
          </w:r>
          <w:r>
            <w:tab/>
          </w:r>
          <w:r>
            <w:fldChar w:fldCharType="begin"/>
          </w:r>
          <w:r>
            <w:instrText xml:space="preserve"> PAGEREF _Toc5416 \h </w:instrText>
          </w:r>
          <w:r>
            <w:fldChar w:fldCharType="separate"/>
          </w:r>
          <w:r>
            <w:t>13</w:t>
          </w:r>
          <w:r>
            <w:fldChar w:fldCharType="end"/>
          </w:r>
          <w:r>
            <w:fldChar w:fldCharType="end"/>
          </w:r>
        </w:p>
        <w:p w14:paraId="27DC8BC0">
          <w:pPr>
            <w:pStyle w:val="16"/>
            <w:tabs>
              <w:tab w:val="right" w:leader="dot" w:pos="8844"/>
              <w:tab w:val="clear" w:pos="8777"/>
            </w:tabs>
          </w:pPr>
          <w:r>
            <w:fldChar w:fldCharType="begin"/>
          </w:r>
          <w:r>
            <w:instrText xml:space="preserve"> HYPERLINK \l _Toc3005 </w:instrText>
          </w:r>
          <w:r>
            <w:fldChar w:fldCharType="separate"/>
          </w:r>
          <w:r>
            <w:rPr>
              <w:rFonts w:hint="eastAsia" w:ascii="Cambria" w:hAnsi="Cambria" w:eastAsia="宋体" w:cs="Times New Roman"/>
              <w:bCs/>
              <w:kern w:val="2"/>
              <w:szCs w:val="32"/>
              <w:lang w:val="en-US" w:eastAsia="zh-CN" w:bidi="ar-SA"/>
            </w:rPr>
            <w:t>3</w:t>
          </w:r>
          <w:r>
            <w:rPr>
              <w:rFonts w:ascii="Cambria" w:hAnsi="Cambria" w:eastAsia="宋体" w:cs="Times New Roman"/>
              <w:bCs/>
              <w:kern w:val="2"/>
              <w:szCs w:val="32"/>
              <w:lang w:val="en-US" w:eastAsia="zh-CN" w:bidi="ar-SA"/>
            </w:rPr>
            <w:t>、应急响应</w:t>
          </w:r>
          <w:r>
            <w:tab/>
          </w:r>
          <w:r>
            <w:fldChar w:fldCharType="begin"/>
          </w:r>
          <w:r>
            <w:instrText xml:space="preserve"> PAGEREF _Toc3005 \h </w:instrText>
          </w:r>
          <w:r>
            <w:fldChar w:fldCharType="separate"/>
          </w:r>
          <w:r>
            <w:t>14</w:t>
          </w:r>
          <w:r>
            <w:fldChar w:fldCharType="end"/>
          </w:r>
          <w:r>
            <w:fldChar w:fldCharType="end"/>
          </w:r>
        </w:p>
        <w:p w14:paraId="0B5C2417">
          <w:pPr>
            <w:pStyle w:val="12"/>
            <w:tabs>
              <w:tab w:val="right" w:leader="dot" w:pos="8844"/>
              <w:tab w:val="clear" w:pos="8777"/>
            </w:tabs>
          </w:pPr>
          <w:r>
            <w:fldChar w:fldCharType="begin"/>
          </w:r>
          <w:r>
            <w:instrText xml:space="preserve"> HYPERLINK \l _Toc5054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1信息收集和研判</w:t>
          </w:r>
          <w:r>
            <w:tab/>
          </w:r>
          <w:r>
            <w:fldChar w:fldCharType="begin"/>
          </w:r>
          <w:r>
            <w:instrText xml:space="preserve"> PAGEREF _Toc5054 \h </w:instrText>
          </w:r>
          <w:r>
            <w:fldChar w:fldCharType="separate"/>
          </w:r>
          <w:r>
            <w:t>14</w:t>
          </w:r>
          <w:r>
            <w:fldChar w:fldCharType="end"/>
          </w:r>
          <w:r>
            <w:fldChar w:fldCharType="end"/>
          </w:r>
        </w:p>
        <w:p w14:paraId="590F2A06">
          <w:pPr>
            <w:pStyle w:val="12"/>
            <w:tabs>
              <w:tab w:val="right" w:leader="dot" w:pos="8844"/>
              <w:tab w:val="clear" w:pos="8777"/>
            </w:tabs>
          </w:pPr>
          <w:r>
            <w:fldChar w:fldCharType="begin"/>
          </w:r>
          <w:r>
            <w:instrText xml:space="preserve"> HYPERLINK \l _Toc31851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2</w:t>
          </w:r>
          <w:r>
            <w:rPr>
              <w:rFonts w:ascii="Times New Roman" w:hAnsi="Times New Roman" w:eastAsia="宋体" w:cs="Times New Roman"/>
              <w:bCs/>
              <w:kern w:val="2"/>
              <w:szCs w:val="32"/>
              <w:lang w:val="en-US" w:eastAsia="zh-CN" w:bidi="ar-SA"/>
            </w:rPr>
            <w:t>预警</w:t>
          </w:r>
          <w:r>
            <w:tab/>
          </w:r>
          <w:r>
            <w:fldChar w:fldCharType="begin"/>
          </w:r>
          <w:r>
            <w:instrText xml:space="preserve"> PAGEREF _Toc31851 \h </w:instrText>
          </w:r>
          <w:r>
            <w:fldChar w:fldCharType="separate"/>
          </w:r>
          <w:r>
            <w:t>16</w:t>
          </w:r>
          <w:r>
            <w:fldChar w:fldCharType="end"/>
          </w:r>
          <w:r>
            <w:fldChar w:fldCharType="end"/>
          </w:r>
        </w:p>
        <w:p w14:paraId="582C28EC">
          <w:pPr>
            <w:pStyle w:val="12"/>
            <w:tabs>
              <w:tab w:val="right" w:leader="dot" w:pos="8844"/>
              <w:tab w:val="clear" w:pos="8777"/>
            </w:tabs>
          </w:pPr>
          <w:r>
            <w:fldChar w:fldCharType="begin"/>
          </w:r>
          <w:r>
            <w:instrText xml:space="preserve"> HYPERLINK \l _Toc13447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3</w:t>
          </w:r>
          <w:r>
            <w:rPr>
              <w:rFonts w:ascii="Times New Roman" w:hAnsi="Times New Roman" w:eastAsia="宋体" w:cs="Times New Roman"/>
              <w:bCs/>
              <w:kern w:val="2"/>
              <w:szCs w:val="32"/>
              <w:lang w:val="en-US" w:eastAsia="zh-CN" w:bidi="ar-SA"/>
            </w:rPr>
            <w:t>信息报告与通报</w:t>
          </w:r>
          <w:r>
            <w:tab/>
          </w:r>
          <w:r>
            <w:fldChar w:fldCharType="begin"/>
          </w:r>
          <w:r>
            <w:instrText xml:space="preserve"> PAGEREF _Toc13447 \h </w:instrText>
          </w:r>
          <w:r>
            <w:fldChar w:fldCharType="separate"/>
          </w:r>
          <w:r>
            <w:t>19</w:t>
          </w:r>
          <w:r>
            <w:fldChar w:fldCharType="end"/>
          </w:r>
          <w:r>
            <w:fldChar w:fldCharType="end"/>
          </w:r>
        </w:p>
        <w:p w14:paraId="16ED58E9">
          <w:pPr>
            <w:pStyle w:val="12"/>
            <w:tabs>
              <w:tab w:val="right" w:leader="dot" w:pos="8844"/>
              <w:tab w:val="clear" w:pos="8777"/>
            </w:tabs>
          </w:pPr>
          <w:r>
            <w:fldChar w:fldCharType="begin"/>
          </w:r>
          <w:r>
            <w:instrText xml:space="preserve"> HYPERLINK \l _Toc6459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4</w:t>
          </w:r>
          <w:r>
            <w:rPr>
              <w:rFonts w:ascii="Times New Roman" w:hAnsi="Times New Roman" w:eastAsia="宋体" w:cs="Times New Roman"/>
              <w:bCs/>
              <w:kern w:val="2"/>
              <w:szCs w:val="32"/>
              <w:lang w:val="en-US" w:eastAsia="zh-CN" w:bidi="ar-SA"/>
            </w:rPr>
            <w:t>事态研判</w:t>
          </w:r>
          <w:r>
            <w:tab/>
          </w:r>
          <w:r>
            <w:fldChar w:fldCharType="begin"/>
          </w:r>
          <w:r>
            <w:instrText xml:space="preserve"> PAGEREF _Toc6459 \h </w:instrText>
          </w:r>
          <w:r>
            <w:fldChar w:fldCharType="separate"/>
          </w:r>
          <w:r>
            <w:t>20</w:t>
          </w:r>
          <w:r>
            <w:fldChar w:fldCharType="end"/>
          </w:r>
          <w:r>
            <w:fldChar w:fldCharType="end"/>
          </w:r>
        </w:p>
        <w:p w14:paraId="23D40F24">
          <w:pPr>
            <w:pStyle w:val="12"/>
            <w:tabs>
              <w:tab w:val="right" w:leader="dot" w:pos="8844"/>
              <w:tab w:val="clear" w:pos="8777"/>
            </w:tabs>
          </w:pPr>
          <w:r>
            <w:fldChar w:fldCharType="begin"/>
          </w:r>
          <w:r>
            <w:instrText xml:space="preserve"> HYPERLINK \l _Toc22962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5</w:t>
          </w:r>
          <w:r>
            <w:rPr>
              <w:rFonts w:ascii="Times New Roman" w:hAnsi="Times New Roman" w:eastAsia="宋体" w:cs="Times New Roman"/>
              <w:bCs/>
              <w:kern w:val="2"/>
              <w:szCs w:val="32"/>
              <w:lang w:val="en-US" w:eastAsia="zh-CN" w:bidi="ar-SA"/>
            </w:rPr>
            <w:t>应急监测</w:t>
          </w:r>
          <w:r>
            <w:tab/>
          </w:r>
          <w:r>
            <w:fldChar w:fldCharType="begin"/>
          </w:r>
          <w:r>
            <w:instrText xml:space="preserve"> PAGEREF _Toc22962 \h </w:instrText>
          </w:r>
          <w:r>
            <w:fldChar w:fldCharType="separate"/>
          </w:r>
          <w:r>
            <w:t>21</w:t>
          </w:r>
          <w:r>
            <w:fldChar w:fldCharType="end"/>
          </w:r>
          <w:r>
            <w:fldChar w:fldCharType="end"/>
          </w:r>
        </w:p>
        <w:p w14:paraId="5A1191F9">
          <w:pPr>
            <w:pStyle w:val="12"/>
            <w:tabs>
              <w:tab w:val="right" w:leader="dot" w:pos="8844"/>
              <w:tab w:val="clear" w:pos="8777"/>
            </w:tabs>
          </w:pPr>
          <w:r>
            <w:fldChar w:fldCharType="begin"/>
          </w:r>
          <w:r>
            <w:instrText xml:space="preserve"> HYPERLINK \l _Toc19334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6污染源排查与处置</w:t>
          </w:r>
          <w:r>
            <w:tab/>
          </w:r>
          <w:r>
            <w:fldChar w:fldCharType="begin"/>
          </w:r>
          <w:r>
            <w:instrText xml:space="preserve"> PAGEREF _Toc19334 \h </w:instrText>
          </w:r>
          <w:r>
            <w:fldChar w:fldCharType="separate"/>
          </w:r>
          <w:r>
            <w:t>24</w:t>
          </w:r>
          <w:r>
            <w:fldChar w:fldCharType="end"/>
          </w:r>
          <w:r>
            <w:fldChar w:fldCharType="end"/>
          </w:r>
        </w:p>
        <w:p w14:paraId="6874967F">
          <w:pPr>
            <w:pStyle w:val="12"/>
            <w:tabs>
              <w:tab w:val="right" w:leader="dot" w:pos="8844"/>
              <w:tab w:val="clear" w:pos="8777"/>
            </w:tabs>
          </w:pPr>
          <w:r>
            <w:fldChar w:fldCharType="begin"/>
          </w:r>
          <w:r>
            <w:instrText xml:space="preserve"> HYPERLINK \l _Toc8085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7</w:t>
          </w:r>
          <w:r>
            <w:rPr>
              <w:rFonts w:ascii="Times New Roman" w:hAnsi="Times New Roman" w:eastAsia="宋体" w:cs="Times New Roman"/>
              <w:bCs/>
              <w:kern w:val="2"/>
              <w:szCs w:val="32"/>
              <w:lang w:val="en-US" w:eastAsia="zh-CN" w:bidi="ar-SA"/>
            </w:rPr>
            <w:t>应急处置</w:t>
          </w:r>
          <w:r>
            <w:tab/>
          </w:r>
          <w:r>
            <w:fldChar w:fldCharType="begin"/>
          </w:r>
          <w:r>
            <w:instrText xml:space="preserve"> PAGEREF _Toc8085 \h </w:instrText>
          </w:r>
          <w:r>
            <w:fldChar w:fldCharType="separate"/>
          </w:r>
          <w:r>
            <w:t>24</w:t>
          </w:r>
          <w:r>
            <w:fldChar w:fldCharType="end"/>
          </w:r>
          <w:r>
            <w:fldChar w:fldCharType="end"/>
          </w:r>
        </w:p>
        <w:p w14:paraId="745D6675">
          <w:pPr>
            <w:pStyle w:val="12"/>
            <w:tabs>
              <w:tab w:val="right" w:leader="dot" w:pos="8844"/>
              <w:tab w:val="clear" w:pos="8777"/>
            </w:tabs>
          </w:pPr>
          <w:r>
            <w:fldChar w:fldCharType="begin"/>
          </w:r>
          <w:r>
            <w:instrText xml:space="preserve"> HYPERLINK \l _Toc7478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8</w:t>
          </w:r>
          <w:r>
            <w:rPr>
              <w:rFonts w:ascii="Times New Roman" w:hAnsi="Times New Roman" w:eastAsia="宋体" w:cs="Times New Roman"/>
              <w:bCs/>
              <w:kern w:val="2"/>
              <w:szCs w:val="32"/>
              <w:lang w:val="en-US" w:eastAsia="zh-CN" w:bidi="ar-SA"/>
            </w:rPr>
            <w:t>物资调集及应急设施启用</w:t>
          </w:r>
          <w:r>
            <w:tab/>
          </w:r>
          <w:r>
            <w:fldChar w:fldCharType="begin"/>
          </w:r>
          <w:r>
            <w:instrText xml:space="preserve"> PAGEREF _Toc7478 \h </w:instrText>
          </w:r>
          <w:r>
            <w:fldChar w:fldCharType="separate"/>
          </w:r>
          <w:r>
            <w:t>37</w:t>
          </w:r>
          <w:r>
            <w:fldChar w:fldCharType="end"/>
          </w:r>
          <w:r>
            <w:fldChar w:fldCharType="end"/>
          </w:r>
        </w:p>
        <w:p w14:paraId="2782C4E1">
          <w:pPr>
            <w:pStyle w:val="12"/>
            <w:tabs>
              <w:tab w:val="right" w:leader="dot" w:pos="8844"/>
              <w:tab w:val="clear" w:pos="8777"/>
            </w:tabs>
          </w:pPr>
          <w:r>
            <w:fldChar w:fldCharType="begin"/>
          </w:r>
          <w:r>
            <w:instrText xml:space="preserve"> HYPERLINK \l _Toc5013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9</w:t>
          </w:r>
          <w:r>
            <w:rPr>
              <w:rFonts w:ascii="Times New Roman" w:hAnsi="Times New Roman" w:eastAsia="宋体" w:cs="Times New Roman"/>
              <w:bCs/>
              <w:kern w:val="2"/>
              <w:szCs w:val="32"/>
              <w:lang w:val="en-US" w:eastAsia="zh-CN" w:bidi="ar-SA"/>
            </w:rPr>
            <w:t>舆情监测与信息发布</w:t>
          </w:r>
          <w:r>
            <w:tab/>
          </w:r>
          <w:r>
            <w:fldChar w:fldCharType="begin"/>
          </w:r>
          <w:r>
            <w:instrText xml:space="preserve"> PAGEREF _Toc5013 \h </w:instrText>
          </w:r>
          <w:r>
            <w:fldChar w:fldCharType="separate"/>
          </w:r>
          <w:r>
            <w:t>37</w:t>
          </w:r>
          <w:r>
            <w:fldChar w:fldCharType="end"/>
          </w:r>
          <w:r>
            <w:fldChar w:fldCharType="end"/>
          </w:r>
        </w:p>
        <w:p w14:paraId="7F58F5CD">
          <w:pPr>
            <w:pStyle w:val="12"/>
            <w:tabs>
              <w:tab w:val="right" w:leader="dot" w:pos="8844"/>
              <w:tab w:val="clear" w:pos="8777"/>
            </w:tabs>
          </w:pPr>
          <w:r>
            <w:fldChar w:fldCharType="begin"/>
          </w:r>
          <w:r>
            <w:instrText xml:space="preserve"> HYPERLINK \l _Toc3236 </w:instrText>
          </w:r>
          <w:r>
            <w:fldChar w:fldCharType="separate"/>
          </w:r>
          <w:r>
            <w:rPr>
              <w:rFonts w:ascii="Times New Roman" w:hAnsi="Times New Roman" w:eastAsia="宋体" w:cs="Times New Roman"/>
              <w:bCs/>
              <w:kern w:val="2"/>
              <w:szCs w:val="32"/>
              <w:lang w:val="en-US" w:eastAsia="zh-CN" w:bidi="ar-SA"/>
            </w:rPr>
            <w:t>3.</w:t>
          </w:r>
          <w:r>
            <w:rPr>
              <w:rFonts w:hint="eastAsia" w:ascii="Times New Roman" w:hAnsi="Times New Roman" w:eastAsia="宋体" w:cs="Times New Roman"/>
              <w:bCs/>
              <w:kern w:val="2"/>
              <w:szCs w:val="32"/>
              <w:lang w:val="en-US" w:eastAsia="zh-CN" w:bidi="ar-SA"/>
            </w:rPr>
            <w:t>10</w:t>
          </w:r>
          <w:r>
            <w:rPr>
              <w:rFonts w:ascii="Times New Roman" w:hAnsi="Times New Roman" w:eastAsia="宋体" w:cs="Times New Roman"/>
              <w:bCs/>
              <w:kern w:val="2"/>
              <w:szCs w:val="32"/>
              <w:lang w:val="en-US" w:eastAsia="zh-CN" w:bidi="ar-SA"/>
            </w:rPr>
            <w:t>响应终止</w:t>
          </w:r>
          <w:r>
            <w:tab/>
          </w:r>
          <w:r>
            <w:fldChar w:fldCharType="begin"/>
          </w:r>
          <w:r>
            <w:instrText xml:space="preserve"> PAGEREF _Toc3236 \h </w:instrText>
          </w:r>
          <w:r>
            <w:fldChar w:fldCharType="separate"/>
          </w:r>
          <w:r>
            <w:t>37</w:t>
          </w:r>
          <w:r>
            <w:fldChar w:fldCharType="end"/>
          </w:r>
          <w:r>
            <w:fldChar w:fldCharType="end"/>
          </w:r>
        </w:p>
        <w:p w14:paraId="6A58590C">
          <w:pPr>
            <w:pStyle w:val="15"/>
            <w:tabs>
              <w:tab w:val="right" w:leader="dot" w:pos="8844"/>
            </w:tabs>
          </w:pPr>
          <w:r>
            <w:fldChar w:fldCharType="begin"/>
          </w:r>
          <w:r>
            <w:instrText xml:space="preserve"> HYPERLINK \l _Toc20262 </w:instrText>
          </w:r>
          <w:r>
            <w:fldChar w:fldCharType="separate"/>
          </w:r>
          <w:r>
            <w:rPr>
              <w:rFonts w:hint="eastAsia" w:ascii="Times New Roman" w:hAnsi="Times New Roman" w:eastAsia="宋体" w:cs="Times New Roman"/>
              <w:bCs/>
              <w:kern w:val="44"/>
              <w:szCs w:val="44"/>
              <w:lang w:val="en-US" w:eastAsia="zh-CN" w:bidi="ar-SA"/>
            </w:rPr>
            <w:t>4</w:t>
          </w:r>
          <w:r>
            <w:rPr>
              <w:rFonts w:ascii="Times New Roman" w:hAnsi="Times New Roman" w:eastAsia="宋体" w:cs="Times New Roman"/>
              <w:bCs/>
              <w:kern w:val="44"/>
              <w:szCs w:val="44"/>
              <w:lang w:val="en-US" w:eastAsia="zh-CN" w:bidi="ar-SA"/>
            </w:rPr>
            <w:t>、后期工作</w:t>
          </w:r>
          <w:r>
            <w:tab/>
          </w:r>
          <w:r>
            <w:fldChar w:fldCharType="begin"/>
          </w:r>
          <w:r>
            <w:instrText xml:space="preserve"> PAGEREF _Toc20262 \h </w:instrText>
          </w:r>
          <w:r>
            <w:fldChar w:fldCharType="separate"/>
          </w:r>
          <w:r>
            <w:t>38</w:t>
          </w:r>
          <w:r>
            <w:fldChar w:fldCharType="end"/>
          </w:r>
          <w:r>
            <w:fldChar w:fldCharType="end"/>
          </w:r>
        </w:p>
        <w:p w14:paraId="1666D176">
          <w:pPr>
            <w:pStyle w:val="12"/>
            <w:tabs>
              <w:tab w:val="right" w:leader="dot" w:pos="8844"/>
              <w:tab w:val="clear" w:pos="8777"/>
            </w:tabs>
          </w:pPr>
          <w:r>
            <w:fldChar w:fldCharType="begin"/>
          </w:r>
          <w:r>
            <w:instrText xml:space="preserve"> HYPERLINK \l _Toc30720 </w:instrText>
          </w:r>
          <w:r>
            <w:fldChar w:fldCharType="separate"/>
          </w:r>
          <w:r>
            <w:rPr>
              <w:rFonts w:ascii="Times New Roman" w:hAnsi="Times New Roman" w:eastAsia="宋体" w:cs="Times New Roman"/>
              <w:bCs/>
              <w:kern w:val="2"/>
              <w:szCs w:val="32"/>
              <w:lang w:val="en-US" w:eastAsia="zh-CN" w:bidi="ar-SA"/>
            </w:rPr>
            <w:t>4.1后期防控</w:t>
          </w:r>
          <w:r>
            <w:tab/>
          </w:r>
          <w:r>
            <w:fldChar w:fldCharType="begin"/>
          </w:r>
          <w:r>
            <w:instrText xml:space="preserve"> PAGEREF _Toc30720 \h </w:instrText>
          </w:r>
          <w:r>
            <w:fldChar w:fldCharType="separate"/>
          </w:r>
          <w:r>
            <w:t>38</w:t>
          </w:r>
          <w:r>
            <w:fldChar w:fldCharType="end"/>
          </w:r>
          <w:r>
            <w:fldChar w:fldCharType="end"/>
          </w:r>
        </w:p>
        <w:p w14:paraId="1D74AB6B">
          <w:pPr>
            <w:pStyle w:val="12"/>
            <w:tabs>
              <w:tab w:val="right" w:leader="dot" w:pos="8844"/>
              <w:tab w:val="clear" w:pos="8777"/>
            </w:tabs>
          </w:pPr>
          <w:r>
            <w:fldChar w:fldCharType="begin"/>
          </w:r>
          <w:r>
            <w:instrText xml:space="preserve"> HYPERLINK \l _Toc32767 </w:instrText>
          </w:r>
          <w:r>
            <w:fldChar w:fldCharType="separate"/>
          </w:r>
          <w:r>
            <w:rPr>
              <w:rFonts w:ascii="Times New Roman" w:hAnsi="Times New Roman" w:eastAsia="宋体" w:cs="Times New Roman"/>
              <w:bCs/>
              <w:kern w:val="2"/>
              <w:szCs w:val="32"/>
              <w:lang w:val="en-US" w:eastAsia="zh-CN" w:bidi="ar-SA"/>
            </w:rPr>
            <w:t>4.2事件调查</w:t>
          </w:r>
          <w:r>
            <w:tab/>
          </w:r>
          <w:r>
            <w:fldChar w:fldCharType="begin"/>
          </w:r>
          <w:r>
            <w:instrText xml:space="preserve"> PAGEREF _Toc32767 \h </w:instrText>
          </w:r>
          <w:r>
            <w:fldChar w:fldCharType="separate"/>
          </w:r>
          <w:r>
            <w:t>39</w:t>
          </w:r>
          <w:r>
            <w:fldChar w:fldCharType="end"/>
          </w:r>
          <w:r>
            <w:fldChar w:fldCharType="end"/>
          </w:r>
        </w:p>
        <w:p w14:paraId="1D1F1078">
          <w:pPr>
            <w:pStyle w:val="12"/>
            <w:tabs>
              <w:tab w:val="right" w:leader="dot" w:pos="8844"/>
              <w:tab w:val="clear" w:pos="8777"/>
            </w:tabs>
          </w:pPr>
          <w:r>
            <w:fldChar w:fldCharType="begin"/>
          </w:r>
          <w:r>
            <w:instrText xml:space="preserve"> HYPERLINK \l _Toc9549 </w:instrText>
          </w:r>
          <w:r>
            <w:fldChar w:fldCharType="separate"/>
          </w:r>
          <w:r>
            <w:rPr>
              <w:rFonts w:ascii="Times New Roman" w:hAnsi="Times New Roman" w:eastAsia="宋体" w:cs="Times New Roman"/>
              <w:bCs/>
              <w:kern w:val="2"/>
              <w:szCs w:val="32"/>
              <w:lang w:val="en-US" w:eastAsia="zh-CN" w:bidi="ar-SA"/>
            </w:rPr>
            <w:t>4.3损害评估</w:t>
          </w:r>
          <w:r>
            <w:tab/>
          </w:r>
          <w:r>
            <w:fldChar w:fldCharType="begin"/>
          </w:r>
          <w:r>
            <w:instrText xml:space="preserve"> PAGEREF _Toc9549 \h </w:instrText>
          </w:r>
          <w:r>
            <w:fldChar w:fldCharType="separate"/>
          </w:r>
          <w:r>
            <w:t>39</w:t>
          </w:r>
          <w:r>
            <w:fldChar w:fldCharType="end"/>
          </w:r>
          <w:r>
            <w:fldChar w:fldCharType="end"/>
          </w:r>
        </w:p>
        <w:p w14:paraId="01BAED02">
          <w:pPr>
            <w:pStyle w:val="12"/>
            <w:tabs>
              <w:tab w:val="right" w:leader="dot" w:pos="8844"/>
              <w:tab w:val="clear" w:pos="8777"/>
            </w:tabs>
          </w:pPr>
          <w:r>
            <w:fldChar w:fldCharType="begin"/>
          </w:r>
          <w:r>
            <w:instrText xml:space="preserve"> HYPERLINK \l _Toc28339 </w:instrText>
          </w:r>
          <w:r>
            <w:fldChar w:fldCharType="separate"/>
          </w:r>
          <w:r>
            <w:rPr>
              <w:rFonts w:ascii="Times New Roman" w:hAnsi="Times New Roman" w:eastAsia="宋体" w:cs="Times New Roman"/>
              <w:bCs/>
              <w:kern w:val="2"/>
              <w:szCs w:val="32"/>
              <w:lang w:val="en-US" w:eastAsia="zh-CN" w:bidi="ar-SA"/>
            </w:rPr>
            <w:t>4.4善后处置</w:t>
          </w:r>
          <w:r>
            <w:tab/>
          </w:r>
          <w:r>
            <w:fldChar w:fldCharType="begin"/>
          </w:r>
          <w:r>
            <w:instrText xml:space="preserve"> PAGEREF _Toc28339 \h </w:instrText>
          </w:r>
          <w:r>
            <w:fldChar w:fldCharType="separate"/>
          </w:r>
          <w:r>
            <w:t>39</w:t>
          </w:r>
          <w:r>
            <w:fldChar w:fldCharType="end"/>
          </w:r>
          <w:r>
            <w:fldChar w:fldCharType="end"/>
          </w:r>
        </w:p>
        <w:p w14:paraId="3109CA6B">
          <w:pPr>
            <w:pStyle w:val="16"/>
            <w:tabs>
              <w:tab w:val="right" w:leader="dot" w:pos="8844"/>
              <w:tab w:val="clear" w:pos="8777"/>
            </w:tabs>
          </w:pPr>
          <w:r>
            <w:fldChar w:fldCharType="begin"/>
          </w:r>
          <w:r>
            <w:instrText xml:space="preserve"> HYPERLINK \l _Toc21247 </w:instrText>
          </w:r>
          <w:r>
            <w:fldChar w:fldCharType="separate"/>
          </w:r>
          <w:r>
            <w:rPr>
              <w:rFonts w:hint="eastAsia" w:ascii="Cambria" w:hAnsi="Cambria" w:eastAsia="宋体" w:cs="Times New Roman"/>
              <w:bCs/>
              <w:kern w:val="2"/>
              <w:szCs w:val="32"/>
              <w:lang w:val="en-US" w:eastAsia="zh-CN" w:bidi="ar-SA"/>
            </w:rPr>
            <w:t>5</w:t>
          </w:r>
          <w:r>
            <w:rPr>
              <w:rFonts w:ascii="Cambria" w:hAnsi="Cambria" w:eastAsia="宋体" w:cs="Times New Roman"/>
              <w:bCs/>
              <w:kern w:val="2"/>
              <w:szCs w:val="32"/>
              <w:lang w:val="en-US" w:eastAsia="zh-CN" w:bidi="ar-SA"/>
            </w:rPr>
            <w:t>、应急保障</w:t>
          </w:r>
          <w:r>
            <w:tab/>
          </w:r>
          <w:r>
            <w:fldChar w:fldCharType="begin"/>
          </w:r>
          <w:r>
            <w:instrText xml:space="preserve"> PAGEREF _Toc21247 \h </w:instrText>
          </w:r>
          <w:r>
            <w:fldChar w:fldCharType="separate"/>
          </w:r>
          <w:r>
            <w:t>40</w:t>
          </w:r>
          <w:r>
            <w:fldChar w:fldCharType="end"/>
          </w:r>
          <w:r>
            <w:fldChar w:fldCharType="end"/>
          </w:r>
        </w:p>
        <w:p w14:paraId="3B1A9F67">
          <w:pPr>
            <w:pStyle w:val="12"/>
            <w:tabs>
              <w:tab w:val="right" w:leader="dot" w:pos="8844"/>
              <w:tab w:val="clear" w:pos="8777"/>
            </w:tabs>
          </w:pPr>
          <w:r>
            <w:fldChar w:fldCharType="begin"/>
          </w:r>
          <w:r>
            <w:instrText xml:space="preserve"> HYPERLINK \l _Toc24399 </w:instrText>
          </w:r>
          <w:r>
            <w:fldChar w:fldCharType="separate"/>
          </w:r>
          <w:r>
            <w:rPr>
              <w:rFonts w:ascii="Times New Roman" w:hAnsi="Times New Roman" w:eastAsia="宋体" w:cs="Times New Roman"/>
              <w:bCs/>
              <w:kern w:val="2"/>
              <w:szCs w:val="32"/>
              <w:lang w:val="en-US" w:eastAsia="zh-CN" w:bidi="ar-SA"/>
            </w:rPr>
            <w:t>5.1通讯与信息保障</w:t>
          </w:r>
          <w:r>
            <w:tab/>
          </w:r>
          <w:r>
            <w:fldChar w:fldCharType="begin"/>
          </w:r>
          <w:r>
            <w:instrText xml:space="preserve"> PAGEREF _Toc24399 \h </w:instrText>
          </w:r>
          <w:r>
            <w:fldChar w:fldCharType="separate"/>
          </w:r>
          <w:r>
            <w:t>40</w:t>
          </w:r>
          <w:r>
            <w:fldChar w:fldCharType="end"/>
          </w:r>
          <w:r>
            <w:fldChar w:fldCharType="end"/>
          </w:r>
        </w:p>
        <w:p w14:paraId="4F9791EC">
          <w:pPr>
            <w:pStyle w:val="12"/>
            <w:tabs>
              <w:tab w:val="right" w:leader="dot" w:pos="8844"/>
              <w:tab w:val="clear" w:pos="8777"/>
            </w:tabs>
          </w:pPr>
          <w:r>
            <w:fldChar w:fldCharType="begin"/>
          </w:r>
          <w:r>
            <w:instrText xml:space="preserve"> HYPERLINK \l _Toc24246 </w:instrText>
          </w:r>
          <w:r>
            <w:fldChar w:fldCharType="separate"/>
          </w:r>
          <w:r>
            <w:rPr>
              <w:rFonts w:ascii="Times New Roman" w:hAnsi="Times New Roman" w:eastAsia="宋体" w:cs="Times New Roman"/>
              <w:bCs/>
              <w:kern w:val="2"/>
              <w:szCs w:val="32"/>
              <w:lang w:val="en-US" w:eastAsia="zh-CN" w:bidi="ar-SA"/>
            </w:rPr>
            <w:t>5.2应急队伍保障</w:t>
          </w:r>
          <w:r>
            <w:tab/>
          </w:r>
          <w:r>
            <w:fldChar w:fldCharType="begin"/>
          </w:r>
          <w:r>
            <w:instrText xml:space="preserve"> PAGEREF _Toc24246 \h </w:instrText>
          </w:r>
          <w:r>
            <w:fldChar w:fldCharType="separate"/>
          </w:r>
          <w:r>
            <w:t>40</w:t>
          </w:r>
          <w:r>
            <w:fldChar w:fldCharType="end"/>
          </w:r>
          <w:r>
            <w:fldChar w:fldCharType="end"/>
          </w:r>
        </w:p>
        <w:p w14:paraId="22CF793D">
          <w:pPr>
            <w:pStyle w:val="12"/>
            <w:tabs>
              <w:tab w:val="right" w:leader="dot" w:pos="8844"/>
              <w:tab w:val="clear" w:pos="8777"/>
            </w:tabs>
          </w:pPr>
          <w:r>
            <w:fldChar w:fldCharType="begin"/>
          </w:r>
          <w:r>
            <w:instrText xml:space="preserve"> HYPERLINK \l _Toc17325 </w:instrText>
          </w:r>
          <w:r>
            <w:fldChar w:fldCharType="separate"/>
          </w:r>
          <w:r>
            <w:rPr>
              <w:rFonts w:ascii="Times New Roman" w:hAnsi="Times New Roman" w:eastAsia="宋体" w:cs="Times New Roman"/>
              <w:bCs/>
              <w:kern w:val="2"/>
              <w:szCs w:val="32"/>
              <w:lang w:val="en-US" w:eastAsia="zh-CN" w:bidi="ar-SA"/>
            </w:rPr>
            <w:t>5.3应急资源保障</w:t>
          </w:r>
          <w:r>
            <w:tab/>
          </w:r>
          <w:r>
            <w:fldChar w:fldCharType="begin"/>
          </w:r>
          <w:r>
            <w:instrText xml:space="preserve"> PAGEREF _Toc17325 \h </w:instrText>
          </w:r>
          <w:r>
            <w:fldChar w:fldCharType="separate"/>
          </w:r>
          <w:r>
            <w:t>41</w:t>
          </w:r>
          <w:r>
            <w:fldChar w:fldCharType="end"/>
          </w:r>
          <w:r>
            <w:fldChar w:fldCharType="end"/>
          </w:r>
        </w:p>
        <w:p w14:paraId="4B49FAAF">
          <w:pPr>
            <w:pStyle w:val="12"/>
            <w:tabs>
              <w:tab w:val="right" w:leader="dot" w:pos="8844"/>
              <w:tab w:val="clear" w:pos="8777"/>
            </w:tabs>
          </w:pPr>
          <w:r>
            <w:fldChar w:fldCharType="begin"/>
          </w:r>
          <w:r>
            <w:instrText xml:space="preserve"> HYPERLINK \l _Toc15024 </w:instrText>
          </w:r>
          <w:r>
            <w:fldChar w:fldCharType="separate"/>
          </w:r>
          <w:r>
            <w:rPr>
              <w:rFonts w:ascii="Times New Roman" w:hAnsi="Times New Roman" w:eastAsia="宋体" w:cs="Times New Roman"/>
              <w:bCs/>
              <w:kern w:val="2"/>
              <w:szCs w:val="32"/>
              <w:lang w:val="en-US" w:eastAsia="zh-CN" w:bidi="ar-SA"/>
            </w:rPr>
            <w:t>5.4经费保障</w:t>
          </w:r>
          <w:r>
            <w:tab/>
          </w:r>
          <w:r>
            <w:fldChar w:fldCharType="begin"/>
          </w:r>
          <w:r>
            <w:instrText xml:space="preserve"> PAGEREF _Toc15024 \h </w:instrText>
          </w:r>
          <w:r>
            <w:fldChar w:fldCharType="separate"/>
          </w:r>
          <w:r>
            <w:t>41</w:t>
          </w:r>
          <w:r>
            <w:fldChar w:fldCharType="end"/>
          </w:r>
          <w:r>
            <w:fldChar w:fldCharType="end"/>
          </w:r>
        </w:p>
        <w:p w14:paraId="2E10ED01">
          <w:pPr>
            <w:pStyle w:val="16"/>
            <w:tabs>
              <w:tab w:val="right" w:leader="dot" w:pos="8844"/>
              <w:tab w:val="clear" w:pos="8777"/>
            </w:tabs>
          </w:pPr>
          <w:r>
            <w:fldChar w:fldCharType="begin"/>
          </w:r>
          <w:r>
            <w:instrText xml:space="preserve"> HYPERLINK \l _Toc13725 </w:instrText>
          </w:r>
          <w:r>
            <w:fldChar w:fldCharType="separate"/>
          </w:r>
          <w:r>
            <w:rPr>
              <w:rFonts w:hint="eastAsia" w:ascii="Cambria" w:hAnsi="Cambria" w:eastAsia="宋体" w:cs="Times New Roman"/>
              <w:bCs/>
              <w:kern w:val="2"/>
              <w:szCs w:val="32"/>
              <w:lang w:val="en-US" w:eastAsia="zh-CN" w:bidi="ar-SA"/>
            </w:rPr>
            <w:t>6</w:t>
          </w:r>
          <w:r>
            <w:rPr>
              <w:rFonts w:ascii="Cambria" w:hAnsi="Cambria" w:eastAsia="宋体" w:cs="Times New Roman"/>
              <w:bCs/>
              <w:kern w:val="2"/>
              <w:szCs w:val="32"/>
              <w:lang w:val="en-US" w:eastAsia="zh-CN" w:bidi="ar-SA"/>
            </w:rPr>
            <w:t>、预案演练</w:t>
          </w:r>
          <w:r>
            <w:tab/>
          </w:r>
          <w:r>
            <w:fldChar w:fldCharType="begin"/>
          </w:r>
          <w:r>
            <w:instrText xml:space="preserve"> PAGEREF _Toc13725 \h </w:instrText>
          </w:r>
          <w:r>
            <w:fldChar w:fldCharType="separate"/>
          </w:r>
          <w:r>
            <w:t>41</w:t>
          </w:r>
          <w:r>
            <w:fldChar w:fldCharType="end"/>
          </w:r>
          <w:r>
            <w:fldChar w:fldCharType="end"/>
          </w:r>
        </w:p>
        <w:p w14:paraId="19460F5A">
          <w:pPr>
            <w:pStyle w:val="12"/>
            <w:tabs>
              <w:tab w:val="right" w:leader="dot" w:pos="8844"/>
              <w:tab w:val="clear" w:pos="8777"/>
            </w:tabs>
          </w:pPr>
          <w:r>
            <w:fldChar w:fldCharType="begin"/>
          </w:r>
          <w:r>
            <w:instrText xml:space="preserve"> HYPERLINK \l _Toc28646 </w:instrText>
          </w:r>
          <w:r>
            <w:fldChar w:fldCharType="separate"/>
          </w:r>
          <w:r>
            <w:rPr>
              <w:rFonts w:hint="eastAsia" w:ascii="Times New Roman" w:hAnsi="Times New Roman" w:eastAsia="宋体" w:cs="Times New Roman"/>
              <w:bCs/>
              <w:kern w:val="2"/>
              <w:szCs w:val="32"/>
              <w:lang w:val="en-US" w:eastAsia="zh-CN" w:bidi="ar-SA"/>
            </w:rPr>
            <w:t>6.1</w:t>
          </w:r>
          <w:r>
            <w:rPr>
              <w:rFonts w:ascii="Times New Roman" w:hAnsi="Times New Roman" w:eastAsia="宋体" w:cs="Times New Roman"/>
              <w:bCs/>
              <w:kern w:val="2"/>
              <w:szCs w:val="32"/>
              <w:lang w:val="en-US" w:eastAsia="zh-CN" w:bidi="ar-SA"/>
            </w:rPr>
            <w:t>应急演练</w:t>
          </w:r>
          <w:r>
            <w:rPr>
              <w:rFonts w:hint="eastAsia" w:ascii="Times New Roman" w:hAnsi="Times New Roman" w:eastAsia="宋体" w:cs="Times New Roman"/>
              <w:bCs/>
              <w:kern w:val="2"/>
              <w:szCs w:val="32"/>
              <w:lang w:val="en-US" w:eastAsia="zh-CN" w:bidi="ar-SA"/>
            </w:rPr>
            <w:t>的宣传</w:t>
          </w:r>
          <w:r>
            <w:tab/>
          </w:r>
          <w:r>
            <w:fldChar w:fldCharType="begin"/>
          </w:r>
          <w:r>
            <w:instrText xml:space="preserve"> PAGEREF _Toc28646 \h </w:instrText>
          </w:r>
          <w:r>
            <w:fldChar w:fldCharType="separate"/>
          </w:r>
          <w:r>
            <w:t>41</w:t>
          </w:r>
          <w:r>
            <w:fldChar w:fldCharType="end"/>
          </w:r>
          <w:r>
            <w:fldChar w:fldCharType="end"/>
          </w:r>
        </w:p>
        <w:p w14:paraId="3FE66608">
          <w:pPr>
            <w:pStyle w:val="12"/>
            <w:tabs>
              <w:tab w:val="right" w:leader="dot" w:pos="8844"/>
              <w:tab w:val="clear" w:pos="8777"/>
            </w:tabs>
          </w:pPr>
          <w:r>
            <w:fldChar w:fldCharType="begin"/>
          </w:r>
          <w:r>
            <w:instrText xml:space="preserve"> HYPERLINK \l _Toc7953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2</w:t>
          </w:r>
          <w:r>
            <w:rPr>
              <w:rFonts w:ascii="Times New Roman" w:hAnsi="Times New Roman" w:eastAsia="宋体" w:cs="Times New Roman"/>
              <w:bCs/>
              <w:kern w:val="2"/>
              <w:szCs w:val="32"/>
              <w:lang w:val="en-US" w:eastAsia="zh-CN" w:bidi="ar-SA"/>
            </w:rPr>
            <w:t>应急演练的组织</w:t>
          </w:r>
          <w:r>
            <w:tab/>
          </w:r>
          <w:r>
            <w:fldChar w:fldCharType="begin"/>
          </w:r>
          <w:r>
            <w:instrText xml:space="preserve"> PAGEREF _Toc7953 \h </w:instrText>
          </w:r>
          <w:r>
            <w:fldChar w:fldCharType="separate"/>
          </w:r>
          <w:r>
            <w:t>42</w:t>
          </w:r>
          <w:r>
            <w:fldChar w:fldCharType="end"/>
          </w:r>
          <w:r>
            <w:fldChar w:fldCharType="end"/>
          </w:r>
        </w:p>
        <w:p w14:paraId="3AC5D013">
          <w:pPr>
            <w:pStyle w:val="12"/>
            <w:tabs>
              <w:tab w:val="right" w:leader="dot" w:pos="8844"/>
              <w:tab w:val="clear" w:pos="8777"/>
            </w:tabs>
          </w:pPr>
          <w:r>
            <w:fldChar w:fldCharType="begin"/>
          </w:r>
          <w:r>
            <w:instrText xml:space="preserve"> HYPERLINK \l _Toc6636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3</w:t>
          </w:r>
          <w:r>
            <w:rPr>
              <w:rFonts w:ascii="Times New Roman" w:hAnsi="Times New Roman" w:eastAsia="宋体" w:cs="Times New Roman"/>
              <w:bCs/>
              <w:kern w:val="2"/>
              <w:szCs w:val="32"/>
              <w:lang w:val="en-US" w:eastAsia="zh-CN" w:bidi="ar-SA"/>
            </w:rPr>
            <w:t>应急演练内容</w:t>
          </w:r>
          <w:r>
            <w:tab/>
          </w:r>
          <w:r>
            <w:fldChar w:fldCharType="begin"/>
          </w:r>
          <w:r>
            <w:instrText xml:space="preserve"> PAGEREF _Toc6636 \h </w:instrText>
          </w:r>
          <w:r>
            <w:fldChar w:fldCharType="separate"/>
          </w:r>
          <w:r>
            <w:t>43</w:t>
          </w:r>
          <w:r>
            <w:fldChar w:fldCharType="end"/>
          </w:r>
          <w:r>
            <w:fldChar w:fldCharType="end"/>
          </w:r>
        </w:p>
        <w:p w14:paraId="1B0D0DE1">
          <w:pPr>
            <w:pStyle w:val="12"/>
            <w:tabs>
              <w:tab w:val="right" w:leader="dot" w:pos="8844"/>
              <w:tab w:val="clear" w:pos="8777"/>
            </w:tabs>
          </w:pPr>
          <w:r>
            <w:fldChar w:fldCharType="begin"/>
          </w:r>
          <w:r>
            <w:instrText xml:space="preserve"> HYPERLINK \l _Toc26864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4</w:t>
          </w:r>
          <w:r>
            <w:rPr>
              <w:rFonts w:ascii="Times New Roman" w:hAnsi="Times New Roman" w:eastAsia="宋体" w:cs="Times New Roman"/>
              <w:bCs/>
              <w:kern w:val="2"/>
              <w:szCs w:val="32"/>
              <w:lang w:val="en-US" w:eastAsia="zh-CN" w:bidi="ar-SA"/>
            </w:rPr>
            <w:t>应急演练参加人员</w:t>
          </w:r>
          <w:r>
            <w:tab/>
          </w:r>
          <w:r>
            <w:fldChar w:fldCharType="begin"/>
          </w:r>
          <w:r>
            <w:instrText xml:space="preserve"> PAGEREF _Toc26864 \h </w:instrText>
          </w:r>
          <w:r>
            <w:fldChar w:fldCharType="separate"/>
          </w:r>
          <w:r>
            <w:t>43</w:t>
          </w:r>
          <w:r>
            <w:fldChar w:fldCharType="end"/>
          </w:r>
          <w:r>
            <w:fldChar w:fldCharType="end"/>
          </w:r>
        </w:p>
        <w:p w14:paraId="7221FE05">
          <w:pPr>
            <w:pStyle w:val="12"/>
            <w:tabs>
              <w:tab w:val="right" w:leader="dot" w:pos="8844"/>
              <w:tab w:val="clear" w:pos="8777"/>
            </w:tabs>
          </w:pPr>
          <w:r>
            <w:fldChar w:fldCharType="begin"/>
          </w:r>
          <w:r>
            <w:instrText xml:space="preserve"> HYPERLINK \l _Toc29463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5</w:t>
          </w:r>
          <w:r>
            <w:rPr>
              <w:rFonts w:ascii="Times New Roman" w:hAnsi="Times New Roman" w:eastAsia="宋体" w:cs="Times New Roman"/>
              <w:bCs/>
              <w:kern w:val="2"/>
              <w:szCs w:val="32"/>
              <w:lang w:val="en-US" w:eastAsia="zh-CN" w:bidi="ar-SA"/>
            </w:rPr>
            <w:t>演练实施的基本过程</w:t>
          </w:r>
          <w:r>
            <w:tab/>
          </w:r>
          <w:r>
            <w:fldChar w:fldCharType="begin"/>
          </w:r>
          <w:r>
            <w:instrText xml:space="preserve"> PAGEREF _Toc29463 \h </w:instrText>
          </w:r>
          <w:r>
            <w:fldChar w:fldCharType="separate"/>
          </w:r>
          <w:r>
            <w:t>43</w:t>
          </w:r>
          <w:r>
            <w:fldChar w:fldCharType="end"/>
          </w:r>
          <w:r>
            <w:fldChar w:fldCharType="end"/>
          </w:r>
        </w:p>
        <w:p w14:paraId="580A99FA">
          <w:pPr>
            <w:pStyle w:val="12"/>
            <w:tabs>
              <w:tab w:val="right" w:leader="dot" w:pos="8844"/>
              <w:tab w:val="clear" w:pos="8777"/>
            </w:tabs>
          </w:pPr>
          <w:r>
            <w:fldChar w:fldCharType="begin"/>
          </w:r>
          <w:r>
            <w:instrText xml:space="preserve"> HYPERLINK \l _Toc3389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6</w:t>
          </w:r>
          <w:r>
            <w:rPr>
              <w:rFonts w:ascii="Times New Roman" w:hAnsi="Times New Roman" w:eastAsia="宋体" w:cs="Times New Roman"/>
              <w:bCs/>
              <w:kern w:val="2"/>
              <w:szCs w:val="32"/>
              <w:lang w:val="en-US" w:eastAsia="zh-CN" w:bidi="ar-SA"/>
            </w:rPr>
            <w:t>演练结果</w:t>
          </w:r>
          <w:r>
            <w:rPr>
              <w:rFonts w:hint="eastAsia" w:ascii="Times New Roman" w:hAnsi="Times New Roman" w:eastAsia="宋体" w:cs="Times New Roman"/>
              <w:bCs/>
              <w:kern w:val="2"/>
              <w:szCs w:val="32"/>
              <w:lang w:val="en-US" w:eastAsia="zh-CN" w:bidi="ar-SA"/>
            </w:rPr>
            <w:t>激励机制</w:t>
          </w:r>
          <w:r>
            <w:tab/>
          </w:r>
          <w:r>
            <w:fldChar w:fldCharType="begin"/>
          </w:r>
          <w:r>
            <w:instrText xml:space="preserve"> PAGEREF _Toc3389 \h </w:instrText>
          </w:r>
          <w:r>
            <w:fldChar w:fldCharType="separate"/>
          </w:r>
          <w:r>
            <w:t>44</w:t>
          </w:r>
          <w:r>
            <w:fldChar w:fldCharType="end"/>
          </w:r>
          <w:r>
            <w:fldChar w:fldCharType="end"/>
          </w:r>
        </w:p>
        <w:p w14:paraId="67B01389">
          <w:pPr>
            <w:pStyle w:val="12"/>
            <w:tabs>
              <w:tab w:val="right" w:leader="dot" w:pos="8844"/>
              <w:tab w:val="clear" w:pos="8777"/>
            </w:tabs>
          </w:pPr>
          <w:r>
            <w:fldChar w:fldCharType="begin"/>
          </w:r>
          <w:r>
            <w:instrText xml:space="preserve"> HYPERLINK \l _Toc31339 </w:instrText>
          </w:r>
          <w:r>
            <w:fldChar w:fldCharType="separate"/>
          </w:r>
          <w:r>
            <w:rPr>
              <w:rFonts w:ascii="Times New Roman" w:hAnsi="Times New Roman" w:eastAsia="宋体" w:cs="Times New Roman"/>
              <w:bCs/>
              <w:kern w:val="2"/>
              <w:szCs w:val="32"/>
              <w:lang w:val="en-US" w:eastAsia="zh-CN" w:bidi="ar-SA"/>
            </w:rPr>
            <w:t>6.</w:t>
          </w:r>
          <w:r>
            <w:rPr>
              <w:rFonts w:hint="eastAsia" w:ascii="Times New Roman" w:hAnsi="Times New Roman" w:eastAsia="宋体" w:cs="Times New Roman"/>
              <w:bCs/>
              <w:kern w:val="2"/>
              <w:szCs w:val="32"/>
              <w:lang w:val="en-US" w:eastAsia="zh-CN" w:bidi="ar-SA"/>
            </w:rPr>
            <w:t>7</w:t>
          </w:r>
          <w:r>
            <w:rPr>
              <w:rFonts w:ascii="Times New Roman" w:hAnsi="Times New Roman" w:eastAsia="宋体" w:cs="Times New Roman"/>
              <w:bCs/>
              <w:kern w:val="2"/>
              <w:szCs w:val="32"/>
              <w:lang w:val="en-US" w:eastAsia="zh-CN" w:bidi="ar-SA"/>
            </w:rPr>
            <w:t>应急演练注意事项</w:t>
          </w:r>
          <w:r>
            <w:tab/>
          </w:r>
          <w:r>
            <w:fldChar w:fldCharType="begin"/>
          </w:r>
          <w:r>
            <w:instrText xml:space="preserve"> PAGEREF _Toc31339 \h </w:instrText>
          </w:r>
          <w:r>
            <w:fldChar w:fldCharType="separate"/>
          </w:r>
          <w:r>
            <w:t>45</w:t>
          </w:r>
          <w:r>
            <w:fldChar w:fldCharType="end"/>
          </w:r>
          <w:r>
            <w:fldChar w:fldCharType="end"/>
          </w:r>
        </w:p>
        <w:p w14:paraId="2B182EE9">
          <w:pPr>
            <w:pStyle w:val="16"/>
            <w:tabs>
              <w:tab w:val="right" w:leader="dot" w:pos="8844"/>
              <w:tab w:val="clear" w:pos="8777"/>
            </w:tabs>
          </w:pPr>
          <w:r>
            <w:fldChar w:fldCharType="begin"/>
          </w:r>
          <w:r>
            <w:instrText xml:space="preserve"> HYPERLINK \l _Toc4017 </w:instrText>
          </w:r>
          <w:r>
            <w:fldChar w:fldCharType="separate"/>
          </w:r>
          <w:r>
            <w:rPr>
              <w:rFonts w:hint="eastAsia" w:ascii="Cambria" w:hAnsi="Cambria" w:eastAsia="宋体" w:cs="Times New Roman"/>
              <w:bCs/>
              <w:kern w:val="2"/>
              <w:szCs w:val="32"/>
              <w:lang w:val="en-US" w:eastAsia="zh-CN" w:bidi="ar-SA"/>
            </w:rPr>
            <w:t>7</w:t>
          </w:r>
          <w:r>
            <w:rPr>
              <w:rFonts w:ascii="Cambria" w:hAnsi="Cambria" w:eastAsia="宋体" w:cs="Times New Roman"/>
              <w:bCs/>
              <w:kern w:val="2"/>
              <w:szCs w:val="32"/>
              <w:lang w:val="en-US" w:eastAsia="zh-CN" w:bidi="ar-SA"/>
            </w:rPr>
            <w:t>、附则</w:t>
          </w:r>
          <w:r>
            <w:tab/>
          </w:r>
          <w:r>
            <w:fldChar w:fldCharType="begin"/>
          </w:r>
          <w:r>
            <w:instrText xml:space="preserve"> PAGEREF _Toc4017 \h </w:instrText>
          </w:r>
          <w:r>
            <w:fldChar w:fldCharType="separate"/>
          </w:r>
          <w:r>
            <w:t>45</w:t>
          </w:r>
          <w:r>
            <w:fldChar w:fldCharType="end"/>
          </w:r>
          <w:r>
            <w:fldChar w:fldCharType="end"/>
          </w:r>
        </w:p>
        <w:p w14:paraId="3D59514E">
          <w:pPr>
            <w:pStyle w:val="12"/>
            <w:tabs>
              <w:tab w:val="right" w:leader="dot" w:pos="8844"/>
              <w:tab w:val="clear" w:pos="8777"/>
            </w:tabs>
          </w:pPr>
          <w:r>
            <w:fldChar w:fldCharType="begin"/>
          </w:r>
          <w:r>
            <w:instrText xml:space="preserve"> HYPERLINK \l _Toc19039 </w:instrText>
          </w:r>
          <w:r>
            <w:fldChar w:fldCharType="separate"/>
          </w:r>
          <w:r>
            <w:rPr>
              <w:rFonts w:hint="eastAsia" w:ascii="Times New Roman" w:hAnsi="Times New Roman" w:eastAsia="宋体" w:cs="Times New Roman"/>
              <w:bCs/>
              <w:kern w:val="2"/>
              <w:szCs w:val="32"/>
              <w:lang w:val="en-US" w:eastAsia="zh-CN" w:bidi="ar-SA"/>
            </w:rPr>
            <w:t>7.1名词术语解释</w:t>
          </w:r>
          <w:r>
            <w:tab/>
          </w:r>
          <w:r>
            <w:fldChar w:fldCharType="begin"/>
          </w:r>
          <w:r>
            <w:instrText xml:space="preserve"> PAGEREF _Toc19039 \h </w:instrText>
          </w:r>
          <w:r>
            <w:fldChar w:fldCharType="separate"/>
          </w:r>
          <w:r>
            <w:t>45</w:t>
          </w:r>
          <w:r>
            <w:fldChar w:fldCharType="end"/>
          </w:r>
          <w:r>
            <w:fldChar w:fldCharType="end"/>
          </w:r>
        </w:p>
        <w:p w14:paraId="7C2D4CE4">
          <w:pPr>
            <w:pStyle w:val="12"/>
            <w:tabs>
              <w:tab w:val="right" w:leader="dot" w:pos="8844"/>
              <w:tab w:val="clear" w:pos="8777"/>
            </w:tabs>
          </w:pPr>
          <w:r>
            <w:fldChar w:fldCharType="begin"/>
          </w:r>
          <w:r>
            <w:instrText xml:space="preserve"> HYPERLINK \l _Toc14338 </w:instrText>
          </w:r>
          <w:r>
            <w:fldChar w:fldCharType="separate"/>
          </w:r>
          <w:r>
            <w:rPr>
              <w:rFonts w:ascii="Times New Roman" w:hAnsi="Times New Roman" w:eastAsia="宋体" w:cs="Times New Roman"/>
              <w:bCs/>
              <w:kern w:val="2"/>
              <w:szCs w:val="32"/>
              <w:lang w:val="en-US" w:eastAsia="zh-CN" w:bidi="ar-SA"/>
            </w:rPr>
            <w:t>7.</w:t>
          </w:r>
          <w:r>
            <w:rPr>
              <w:rFonts w:hint="eastAsia" w:ascii="Times New Roman" w:hAnsi="Times New Roman" w:eastAsia="宋体" w:cs="Times New Roman"/>
              <w:bCs/>
              <w:kern w:val="2"/>
              <w:szCs w:val="32"/>
              <w:lang w:val="en-US" w:eastAsia="zh-CN" w:bidi="ar-SA"/>
            </w:rPr>
            <w:t>2</w:t>
          </w:r>
          <w:r>
            <w:rPr>
              <w:rFonts w:ascii="Times New Roman" w:hAnsi="Times New Roman" w:eastAsia="宋体" w:cs="Times New Roman"/>
              <w:bCs/>
              <w:kern w:val="2"/>
              <w:szCs w:val="32"/>
              <w:lang w:val="en-US" w:eastAsia="zh-CN" w:bidi="ar-SA"/>
            </w:rPr>
            <w:t>预案解释权属</w:t>
          </w:r>
          <w:r>
            <w:tab/>
          </w:r>
          <w:r>
            <w:fldChar w:fldCharType="begin"/>
          </w:r>
          <w:r>
            <w:instrText xml:space="preserve"> PAGEREF _Toc14338 \h </w:instrText>
          </w:r>
          <w:r>
            <w:fldChar w:fldCharType="separate"/>
          </w:r>
          <w:r>
            <w:t>47</w:t>
          </w:r>
          <w:r>
            <w:fldChar w:fldCharType="end"/>
          </w:r>
          <w:r>
            <w:fldChar w:fldCharType="end"/>
          </w:r>
        </w:p>
        <w:p w14:paraId="5FCFA185">
          <w:pPr>
            <w:pStyle w:val="12"/>
            <w:tabs>
              <w:tab w:val="right" w:leader="dot" w:pos="8844"/>
              <w:tab w:val="clear" w:pos="8777"/>
            </w:tabs>
          </w:pPr>
          <w:r>
            <w:fldChar w:fldCharType="begin"/>
          </w:r>
          <w:r>
            <w:instrText xml:space="preserve"> HYPERLINK \l _Toc11910 </w:instrText>
          </w:r>
          <w:r>
            <w:fldChar w:fldCharType="separate"/>
          </w:r>
          <w:r>
            <w:rPr>
              <w:rFonts w:ascii="Times New Roman" w:hAnsi="Times New Roman" w:eastAsia="宋体" w:cs="Times New Roman"/>
              <w:bCs/>
              <w:kern w:val="2"/>
              <w:szCs w:val="32"/>
              <w:lang w:val="en-US" w:eastAsia="zh-CN" w:bidi="ar-SA"/>
            </w:rPr>
            <w:t>7.</w:t>
          </w:r>
          <w:r>
            <w:rPr>
              <w:rFonts w:hint="eastAsia" w:ascii="Times New Roman" w:hAnsi="Times New Roman" w:eastAsia="宋体" w:cs="Times New Roman"/>
              <w:bCs/>
              <w:kern w:val="2"/>
              <w:szCs w:val="32"/>
              <w:lang w:val="en-US" w:eastAsia="zh-CN" w:bidi="ar-SA"/>
            </w:rPr>
            <w:t>3</w:t>
          </w:r>
          <w:r>
            <w:rPr>
              <w:rFonts w:ascii="Times New Roman" w:hAnsi="Times New Roman" w:eastAsia="宋体" w:cs="Times New Roman"/>
              <w:bCs/>
              <w:kern w:val="2"/>
              <w:szCs w:val="32"/>
              <w:lang w:val="en-US" w:eastAsia="zh-CN" w:bidi="ar-SA"/>
            </w:rPr>
            <w:t>预案实施日期</w:t>
          </w:r>
          <w:r>
            <w:tab/>
          </w:r>
          <w:r>
            <w:fldChar w:fldCharType="begin"/>
          </w:r>
          <w:r>
            <w:instrText xml:space="preserve"> PAGEREF _Toc11910 \h </w:instrText>
          </w:r>
          <w:r>
            <w:fldChar w:fldCharType="separate"/>
          </w:r>
          <w:r>
            <w:t>47</w:t>
          </w:r>
          <w:r>
            <w:fldChar w:fldCharType="end"/>
          </w:r>
          <w:r>
            <w:fldChar w:fldCharType="end"/>
          </w:r>
        </w:p>
        <w:p w14:paraId="53CC5C80">
          <w:r>
            <w:fldChar w:fldCharType="end"/>
          </w:r>
        </w:p>
      </w:sdtContent>
    </w:sdt>
    <w:p w14:paraId="040D5E42">
      <w:pPr>
        <w:keepNext/>
        <w:keepLines/>
        <w:widowControl w:val="0"/>
        <w:spacing w:before="200" w:after="100" w:line="416" w:lineRule="auto"/>
        <w:ind w:firstLine="0" w:firstLineChars="0"/>
        <w:jc w:val="both"/>
        <w:outlineLvl w:val="1"/>
        <w:rPr>
          <w:rFonts w:hint="eastAsia" w:ascii="Cambria" w:hAnsi="Cambria" w:eastAsia="宋体" w:cs="Times New Roman"/>
          <w:b/>
          <w:bCs/>
          <w:kern w:val="2"/>
          <w:sz w:val="30"/>
          <w:szCs w:val="32"/>
          <w:lang w:val="en-US" w:eastAsia="zh-CN" w:bidi="ar-SA"/>
        </w:rPr>
        <w:sectPr>
          <w:pgSz w:w="11906" w:h="16838"/>
          <w:pgMar w:top="1134" w:right="1531" w:bottom="1361"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2BCA0CC">
      <w:pPr>
        <w:keepNext/>
        <w:keepLines/>
        <w:widowControl w:val="0"/>
        <w:spacing w:before="200" w:after="100" w:line="416" w:lineRule="auto"/>
        <w:ind w:firstLine="0" w:firstLineChars="0"/>
        <w:jc w:val="both"/>
        <w:outlineLvl w:val="1"/>
        <w:rPr>
          <w:rFonts w:ascii="Cambria" w:hAnsi="Cambria" w:eastAsia="宋体" w:cs="Times New Roman"/>
          <w:b/>
          <w:bCs/>
          <w:kern w:val="2"/>
          <w:sz w:val="30"/>
          <w:szCs w:val="32"/>
          <w:lang w:val="en-US" w:eastAsia="zh-CN" w:bidi="ar-SA"/>
        </w:rPr>
      </w:pPr>
      <w:bookmarkStart w:id="6" w:name="_Toc12563"/>
      <w:r>
        <w:rPr>
          <w:rFonts w:hint="eastAsia" w:ascii="Cambria" w:hAnsi="Cambria" w:eastAsia="宋体" w:cs="Times New Roman"/>
          <w:b/>
          <w:bCs/>
          <w:kern w:val="2"/>
          <w:sz w:val="30"/>
          <w:szCs w:val="32"/>
          <w:lang w:val="en-US" w:eastAsia="zh-CN" w:bidi="ar-SA"/>
        </w:rPr>
        <w:t>1</w:t>
      </w:r>
      <w:r>
        <w:rPr>
          <w:rFonts w:ascii="Cambria" w:hAnsi="Cambria" w:eastAsia="宋体" w:cs="Times New Roman"/>
          <w:b/>
          <w:bCs/>
          <w:kern w:val="2"/>
          <w:sz w:val="30"/>
          <w:szCs w:val="32"/>
          <w:lang w:val="en-US" w:eastAsia="zh-CN" w:bidi="ar-SA"/>
        </w:rPr>
        <w:t>、总则</w:t>
      </w:r>
      <w:bookmarkEnd w:id="0"/>
      <w:bookmarkEnd w:id="1"/>
      <w:bookmarkEnd w:id="2"/>
      <w:bookmarkEnd w:id="3"/>
      <w:bookmarkEnd w:id="4"/>
      <w:bookmarkEnd w:id="5"/>
      <w:bookmarkEnd w:id="6"/>
    </w:p>
    <w:p w14:paraId="75D4EDAA">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7" w:name="_Toc18379"/>
      <w:bookmarkStart w:id="8" w:name="_Toc17103"/>
      <w:bookmarkStart w:id="9" w:name="_Toc20258"/>
      <w:bookmarkStart w:id="10" w:name="_Toc26236"/>
      <w:bookmarkStart w:id="11" w:name="_Toc18237"/>
      <w:bookmarkStart w:id="12" w:name="_Toc19966"/>
      <w:bookmarkStart w:id="13" w:name="_Toc32361"/>
      <w:r>
        <w:rPr>
          <w:rFonts w:ascii="Times New Roman" w:hAnsi="Times New Roman" w:eastAsia="宋体" w:cs="Times New Roman"/>
          <w:b/>
          <w:bCs/>
          <w:kern w:val="2"/>
          <w:sz w:val="30"/>
          <w:szCs w:val="32"/>
          <w:lang w:val="en-US" w:eastAsia="zh-CN" w:bidi="ar-SA"/>
        </w:rPr>
        <w:t>1.1编制目的</w:t>
      </w:r>
      <w:bookmarkEnd w:id="7"/>
      <w:bookmarkEnd w:id="8"/>
      <w:bookmarkEnd w:id="9"/>
      <w:bookmarkEnd w:id="10"/>
      <w:bookmarkEnd w:id="11"/>
      <w:bookmarkEnd w:id="12"/>
      <w:bookmarkEnd w:id="13"/>
    </w:p>
    <w:p w14:paraId="7B506044">
      <w:r>
        <w:t>为预防和及时有效地应对武陵源区董家峪水库</w:t>
      </w:r>
      <w:r>
        <w:rPr>
          <w:rFonts w:hint="eastAsia"/>
        </w:rPr>
        <w:t>饮用水水</w:t>
      </w:r>
      <w:r>
        <w:t>源地突发环境事件，保障</w:t>
      </w:r>
      <w:r>
        <w:rPr>
          <w:rFonts w:hint="eastAsia"/>
        </w:rPr>
        <w:t>武陵源区</w:t>
      </w:r>
      <w:r>
        <w:t>人民群众饮水安全和公众健康，全面提高该饮用水水源地突发环境事件的防范和处置能力，最大限度地保护水环境，特制订本预案。</w:t>
      </w:r>
    </w:p>
    <w:p w14:paraId="3A64FE4B">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4" w:name="_Toc20367"/>
      <w:bookmarkStart w:id="15" w:name="_Toc27372"/>
      <w:bookmarkStart w:id="16" w:name="_Toc27892"/>
      <w:bookmarkStart w:id="17" w:name="_Toc21373"/>
      <w:bookmarkStart w:id="18" w:name="_Toc7045"/>
      <w:bookmarkStart w:id="19" w:name="_Toc12927"/>
      <w:bookmarkStart w:id="20" w:name="_Toc26627"/>
      <w:r>
        <w:rPr>
          <w:rFonts w:ascii="Times New Roman" w:hAnsi="Times New Roman" w:eastAsia="宋体" w:cs="Times New Roman"/>
          <w:b/>
          <w:bCs/>
          <w:kern w:val="2"/>
          <w:sz w:val="30"/>
          <w:szCs w:val="32"/>
          <w:lang w:val="en-US" w:eastAsia="zh-CN" w:bidi="ar-SA"/>
        </w:rPr>
        <w:t>1.2编制依据</w:t>
      </w:r>
      <w:bookmarkEnd w:id="14"/>
      <w:bookmarkEnd w:id="15"/>
      <w:bookmarkEnd w:id="16"/>
      <w:bookmarkEnd w:id="17"/>
      <w:bookmarkEnd w:id="18"/>
      <w:bookmarkEnd w:id="19"/>
      <w:bookmarkEnd w:id="20"/>
    </w:p>
    <w:p w14:paraId="326C982C">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1.2.1法律、法规和规章</w:t>
      </w:r>
    </w:p>
    <w:p w14:paraId="791BBB1E">
      <w:r>
        <w:t>（1）《中华人民共和国环境保护法》；</w:t>
      </w:r>
    </w:p>
    <w:p w14:paraId="237D77BC">
      <w:r>
        <w:t>（2）《中华人民共和国水污染防治法》；</w:t>
      </w:r>
    </w:p>
    <w:p w14:paraId="6A9DFC50">
      <w:r>
        <w:t>（3）《中华人民共和国大气污染防治法》；</w:t>
      </w:r>
    </w:p>
    <w:p w14:paraId="4A769BF9">
      <w:r>
        <w:t>（4）《中华人民共和国固体废物污染环境防治法》；</w:t>
      </w:r>
    </w:p>
    <w:p w14:paraId="670365F7">
      <w:r>
        <w:t>（5）《中华人民共和国突发事件应对法》；</w:t>
      </w:r>
    </w:p>
    <w:p w14:paraId="0D1B439D">
      <w:r>
        <w:t>（6）《中华人民共和国安全生产法》；</w:t>
      </w:r>
    </w:p>
    <w:p w14:paraId="7413E1AA">
      <w:bookmarkStart w:id="21" w:name="_Toc26803"/>
      <w:r>
        <w:t>（7）《危险化学品安全管理条例》；</w:t>
      </w:r>
      <w:bookmarkEnd w:id="21"/>
    </w:p>
    <w:p w14:paraId="06CECCBF">
      <w:bookmarkStart w:id="22" w:name="_Toc14320"/>
      <w:bookmarkStart w:id="23" w:name="_Toc28417"/>
      <w:r>
        <w:t>（</w:t>
      </w:r>
      <w:r>
        <w:rPr>
          <w:rFonts w:hint="eastAsia"/>
        </w:rPr>
        <w:t>8</w:t>
      </w:r>
      <w:r>
        <w:t>）《突发环境事件信息报告办法》；</w:t>
      </w:r>
      <w:bookmarkEnd w:id="22"/>
      <w:bookmarkEnd w:id="23"/>
    </w:p>
    <w:p w14:paraId="6C0B3451">
      <w:r>
        <w:t>（</w:t>
      </w:r>
      <w:r>
        <w:rPr>
          <w:rFonts w:hint="eastAsia"/>
        </w:rPr>
        <w:t>9</w:t>
      </w:r>
      <w:r>
        <w:t>）《企业事业单位突发环境事件应急预案备案管理办法（试行）》；</w:t>
      </w:r>
    </w:p>
    <w:p w14:paraId="4D46DCCA">
      <w:r>
        <w:t>（1</w:t>
      </w:r>
      <w:r>
        <w:rPr>
          <w:rFonts w:hint="eastAsia"/>
        </w:rPr>
        <w:t>0</w:t>
      </w:r>
      <w:r>
        <w:t>）《危险化学品安全管理条例》</w:t>
      </w:r>
      <w:r>
        <w:rPr>
          <w:rFonts w:hint="eastAsia"/>
        </w:rPr>
        <w:t>。</w:t>
      </w:r>
    </w:p>
    <w:p w14:paraId="036044EE">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1.2.2 有关预案、标准规范和规范性文件</w:t>
      </w:r>
    </w:p>
    <w:p w14:paraId="75179895">
      <w:r>
        <w:rPr>
          <w:rFonts w:hint="eastAsia"/>
        </w:rPr>
        <w:t>（1）《建设项目环境风险评价技术导则》（HJ/T169－2018）；</w:t>
      </w:r>
    </w:p>
    <w:p w14:paraId="74B45D2C">
      <w:r>
        <w:rPr>
          <w:rFonts w:hint="eastAsia"/>
        </w:rPr>
        <w:t>（2）《地表水环境质量标准》（GB3838-2002）；</w:t>
      </w:r>
    </w:p>
    <w:p w14:paraId="701A460F">
      <w:r>
        <w:rPr>
          <w:rFonts w:hint="eastAsia"/>
        </w:rPr>
        <w:t>（3）《地下水质量标准》（GB/T14848-2017）；</w:t>
      </w:r>
    </w:p>
    <w:p w14:paraId="5D22AA07">
      <w:r>
        <w:rPr>
          <w:rFonts w:hint="eastAsia"/>
        </w:rPr>
        <w:t>（4）《大气污染物综合排放标准》（GB16297-1996）；</w:t>
      </w:r>
    </w:p>
    <w:p w14:paraId="6909E057">
      <w:r>
        <w:rPr>
          <w:rFonts w:hint="eastAsia"/>
        </w:rPr>
        <w:t>（5）《土壤环境质量标准》（GB15618-1995）；</w:t>
      </w:r>
    </w:p>
    <w:p w14:paraId="174539E2">
      <w:r>
        <w:rPr>
          <w:rFonts w:hint="eastAsia"/>
        </w:rPr>
        <w:t>（6）《污水综合排放标准》（GB8978-1996）；</w:t>
      </w:r>
    </w:p>
    <w:p w14:paraId="0B80A29F">
      <w:r>
        <w:rPr>
          <w:rFonts w:hint="eastAsia"/>
        </w:rPr>
        <w:t>（7）《农田灌溉水质标准》（GB5084-2021）；</w:t>
      </w:r>
    </w:p>
    <w:p w14:paraId="29D53805">
      <w:bookmarkStart w:id="24" w:name="_Toc16447"/>
      <w:bookmarkStart w:id="25" w:name="_Toc23937"/>
      <w:r>
        <w:rPr>
          <w:rFonts w:hint="eastAsia"/>
        </w:rPr>
        <w:t>（8）《生活饮用水卫生标准》（GB5749-2022）；</w:t>
      </w:r>
      <w:bookmarkEnd w:id="24"/>
      <w:bookmarkEnd w:id="25"/>
    </w:p>
    <w:p w14:paraId="440E9546">
      <w:r>
        <w:rPr>
          <w:rFonts w:hint="eastAsia"/>
        </w:rPr>
        <w:t>（9）《饮用水水源保护区标志技术要求》（HJ/T433-2008）；</w:t>
      </w:r>
    </w:p>
    <w:p w14:paraId="1B24EF84">
      <w:r>
        <w:rPr>
          <w:rFonts w:hint="eastAsia"/>
        </w:rPr>
        <w:t>（10）《集中式饮用水水源地环境保护状况评估技术规范》（HJ774-2015）；</w:t>
      </w:r>
    </w:p>
    <w:p w14:paraId="40ECFC90">
      <w:r>
        <w:rPr>
          <w:rFonts w:hint="eastAsia"/>
        </w:rPr>
        <w:t>（11）《集中式饮用水水源地规范化建设环境保护技术要求》（HJ773-2015）；</w:t>
      </w:r>
    </w:p>
    <w:p w14:paraId="5594AF1A">
      <w:r>
        <w:rPr>
          <w:rFonts w:hint="eastAsia"/>
        </w:rPr>
        <w:t>（12）《</w:t>
      </w:r>
      <w:r>
        <w:fldChar w:fldCharType="begin"/>
      </w:r>
      <w:r>
        <w:instrText xml:space="preserve"> HYPERLINK "https://www.mee.gov.cn/xxgk2018/xxgk/xxgk01/202106/W020210624327149500026.pdf" </w:instrText>
      </w:r>
      <w:r>
        <w:fldChar w:fldCharType="separate"/>
      </w:r>
      <w:r>
        <w:rPr>
          <w:rFonts w:hint="eastAsia"/>
        </w:rPr>
        <w:t>排放源统计调查产排污核算方法和系数手册</w:t>
      </w:r>
      <w:r>
        <w:rPr>
          <w:rFonts w:hint="eastAsia"/>
        </w:rPr>
        <w:fldChar w:fldCharType="end"/>
      </w:r>
      <w:r>
        <w:rPr>
          <w:rFonts w:hint="eastAsia"/>
        </w:rPr>
        <w:t>》2021年6月；</w:t>
      </w:r>
    </w:p>
    <w:p w14:paraId="2D5E4711">
      <w:r>
        <w:rPr>
          <w:rFonts w:hint="eastAsia"/>
        </w:rPr>
        <w:t>（13）《集中式饮用水水源环境保护指南（试行）》；</w:t>
      </w:r>
    </w:p>
    <w:p w14:paraId="2F841847">
      <w:r>
        <w:rPr>
          <w:rFonts w:hint="eastAsia"/>
        </w:rPr>
        <w:t>（14）《集中式地表水饮用水水源地突发环境事件应急预案编制指南（试行）》；</w:t>
      </w:r>
    </w:p>
    <w:p w14:paraId="50E2C120">
      <w:r>
        <w:rPr>
          <w:rFonts w:hint="eastAsia"/>
        </w:rPr>
        <w:t>（15）《集中式地表饮用水水源地环境应急管理工作指南（试行）》；</w:t>
      </w:r>
    </w:p>
    <w:p w14:paraId="2163146F">
      <w:r>
        <w:rPr>
          <w:rFonts w:hint="eastAsia"/>
        </w:rPr>
        <w:t>（16）《集中式饮用水水源保护指南（试行）》；</w:t>
      </w:r>
    </w:p>
    <w:p w14:paraId="10D88D65">
      <w:r>
        <w:rPr>
          <w:rFonts w:hint="eastAsia"/>
        </w:rPr>
        <w:t>（17）《企业突发环境事件风险分级方法》（HJ941-2018）；</w:t>
      </w:r>
    </w:p>
    <w:p w14:paraId="7B985732">
      <w:r>
        <w:rPr>
          <w:rFonts w:hint="eastAsia"/>
        </w:rPr>
        <w:t>（18）《国家危险废物名录》（2021年版）。</w:t>
      </w:r>
    </w:p>
    <w:p w14:paraId="0EF29058">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26" w:name="_Toc257"/>
      <w:bookmarkStart w:id="27" w:name="_Toc13419"/>
      <w:bookmarkStart w:id="28" w:name="_Toc4276"/>
      <w:bookmarkStart w:id="29" w:name="_Toc2161"/>
      <w:r>
        <w:rPr>
          <w:rFonts w:ascii="Cambria" w:hAnsi="Cambria" w:eastAsia="宋体" w:cs="Times New Roman"/>
          <w:b/>
          <w:bCs/>
          <w:kern w:val="2"/>
          <w:sz w:val="28"/>
          <w:szCs w:val="28"/>
          <w:lang w:val="en-US" w:eastAsia="zh-CN" w:bidi="ar-SA"/>
        </w:rPr>
        <w:t>1.2.3</w:t>
      </w:r>
      <w:r>
        <w:rPr>
          <w:rFonts w:hint="eastAsia" w:ascii="Cambria" w:hAnsi="Cambria" w:eastAsia="宋体" w:cs="Times New Roman"/>
          <w:b/>
          <w:bCs/>
          <w:kern w:val="2"/>
          <w:sz w:val="28"/>
          <w:szCs w:val="28"/>
          <w:lang w:val="en-US" w:eastAsia="zh-CN" w:bidi="ar-SA"/>
        </w:rPr>
        <w:t xml:space="preserve"> </w:t>
      </w:r>
      <w:r>
        <w:rPr>
          <w:rFonts w:ascii="Cambria" w:hAnsi="Cambria" w:eastAsia="宋体" w:cs="Times New Roman"/>
          <w:b/>
          <w:bCs/>
          <w:kern w:val="2"/>
          <w:sz w:val="28"/>
          <w:szCs w:val="28"/>
          <w:lang w:val="en-US" w:eastAsia="zh-CN" w:bidi="ar-SA"/>
        </w:rPr>
        <w:t>相关资料和文件</w:t>
      </w:r>
      <w:bookmarkEnd w:id="26"/>
      <w:bookmarkEnd w:id="27"/>
      <w:bookmarkEnd w:id="28"/>
      <w:bookmarkEnd w:id="29"/>
    </w:p>
    <w:p w14:paraId="3539F032">
      <w:r>
        <w:rPr>
          <w:rFonts w:hint="eastAsia"/>
        </w:rPr>
        <w:t>（1）</w:t>
      </w:r>
      <w:r>
        <w:t>《张家界市突发环境事件应急预案》</w:t>
      </w:r>
      <w:r>
        <w:rPr>
          <w:rFonts w:hint="eastAsia"/>
        </w:rPr>
        <w:t>2021年2月</w:t>
      </w:r>
      <w:r>
        <w:t>；</w:t>
      </w:r>
    </w:p>
    <w:p w14:paraId="24C1C25B">
      <w:r>
        <w:rPr>
          <w:rFonts w:hint="eastAsia"/>
        </w:rPr>
        <w:t>（2）</w:t>
      </w:r>
      <w:r>
        <w:t>《张家界市武陵源区突发环境事件应急预案》</w:t>
      </w:r>
      <w:r>
        <w:rPr>
          <w:rFonts w:hint="eastAsia"/>
        </w:rPr>
        <w:t>2020年10月</w:t>
      </w:r>
      <w:r>
        <w:t>；</w:t>
      </w:r>
    </w:p>
    <w:p w14:paraId="010E699A">
      <w:r>
        <w:rPr>
          <w:rFonts w:hint="eastAsia"/>
        </w:rPr>
        <w:t>（3）</w:t>
      </w:r>
      <w:r>
        <w:t>《张家界市武陵源区森林火灾应急预案》</w:t>
      </w:r>
      <w:r>
        <w:rPr>
          <w:rFonts w:hint="eastAsia"/>
        </w:rPr>
        <w:t>2022年11月；</w:t>
      </w:r>
    </w:p>
    <w:p w14:paraId="31D11824">
      <w:r>
        <w:rPr>
          <w:rFonts w:hint="eastAsia"/>
        </w:rPr>
        <w:t>（4）</w:t>
      </w:r>
      <w:r>
        <w:t>《武陵源区董家峪水库饮用水水源保护区划分技术报告》</w:t>
      </w:r>
      <w:r>
        <w:rPr>
          <w:rFonts w:hint="eastAsia"/>
        </w:rPr>
        <w:t>2016年10月；</w:t>
      </w:r>
    </w:p>
    <w:p w14:paraId="0E38929A">
      <w:r>
        <w:rPr>
          <w:rFonts w:hint="eastAsia"/>
        </w:rPr>
        <w:t>（5）《张家界市武陵源区突发事件总体应急预案》2017年8月；</w:t>
      </w:r>
    </w:p>
    <w:p w14:paraId="0A12973E">
      <w:r>
        <w:rPr>
          <w:rFonts w:hint="eastAsia"/>
        </w:rPr>
        <w:t>（6）《张家界市武陵源区防汛抗旱应急预案》2022年6月；</w:t>
      </w:r>
    </w:p>
    <w:p w14:paraId="28AB8D58">
      <w:r>
        <w:rPr>
          <w:rFonts w:hint="eastAsia"/>
        </w:rPr>
        <w:t>（7）《武陵源区董家峪水库饮用水水源地突发环境事件》2019年3月；</w:t>
      </w:r>
    </w:p>
    <w:p w14:paraId="625B5B70">
      <w:r>
        <w:rPr>
          <w:rFonts w:hint="eastAsia"/>
        </w:rPr>
        <w:t>（8）《武陵源区董家峪水库集中式饮用水水源保护区划分技术报告》2016年10月；</w:t>
      </w:r>
    </w:p>
    <w:p w14:paraId="19986A2D">
      <w:r>
        <w:t>（</w:t>
      </w:r>
      <w:r>
        <w:rPr>
          <w:rFonts w:hint="eastAsia"/>
        </w:rPr>
        <w:t>9</w:t>
      </w:r>
      <w:r>
        <w:t>）其他技术资料。</w:t>
      </w:r>
    </w:p>
    <w:p w14:paraId="17385E3A">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30" w:name="_Toc20914"/>
      <w:bookmarkStart w:id="31" w:name="_Toc19264"/>
      <w:bookmarkStart w:id="32" w:name="_Toc3116"/>
      <w:bookmarkStart w:id="33" w:name="_Toc12536"/>
      <w:bookmarkStart w:id="34" w:name="_Toc19224"/>
      <w:bookmarkStart w:id="35" w:name="_Toc21651"/>
      <w:bookmarkStart w:id="36" w:name="_Toc30354"/>
      <w:r>
        <w:rPr>
          <w:rFonts w:ascii="Times New Roman" w:hAnsi="Times New Roman" w:eastAsia="宋体" w:cs="Times New Roman"/>
          <w:b/>
          <w:bCs/>
          <w:kern w:val="2"/>
          <w:sz w:val="30"/>
          <w:szCs w:val="32"/>
          <w:lang w:val="en-US" w:eastAsia="zh-CN" w:bidi="ar-SA"/>
        </w:rPr>
        <w:t>1.3适用范围</w:t>
      </w:r>
      <w:bookmarkEnd w:id="30"/>
      <w:bookmarkEnd w:id="31"/>
      <w:bookmarkEnd w:id="32"/>
      <w:bookmarkEnd w:id="33"/>
      <w:bookmarkEnd w:id="34"/>
      <w:bookmarkEnd w:id="35"/>
      <w:bookmarkEnd w:id="36"/>
    </w:p>
    <w:p w14:paraId="3D643D0A">
      <w:r>
        <w:rPr>
          <w:rFonts w:hint="eastAsia"/>
        </w:rPr>
        <w:t>由于董家峪溪整个汇水范围已划入饮用水水源保护区，因此</w:t>
      </w:r>
      <w:r>
        <w:t>本预案适用的地域范围</w:t>
      </w:r>
      <w:r>
        <w:rPr>
          <w:rFonts w:hint="eastAsia"/>
        </w:rPr>
        <w:t>即为饮用水水源保护区范围，</w:t>
      </w:r>
      <w:r>
        <w:t>总面积约5.79km</w:t>
      </w:r>
      <w:r>
        <w:rPr>
          <w:rFonts w:hint="eastAsia"/>
          <w:vertAlign w:val="superscript"/>
        </w:rPr>
        <w:t>2</w:t>
      </w:r>
      <w:r>
        <w:rPr>
          <w:rFonts w:hint="eastAsia"/>
        </w:rPr>
        <w:t>，</w:t>
      </w:r>
      <w:r>
        <w:t>用于董家峪水库饮用水水源</w:t>
      </w:r>
      <w:r>
        <w:rPr>
          <w:rFonts w:hint="eastAsia"/>
        </w:rPr>
        <w:t>地</w:t>
      </w:r>
      <w:r>
        <w:t>突发环境事件下的环境应急管理工作。</w:t>
      </w:r>
      <w:r>
        <w:rPr>
          <w:rFonts w:hint="eastAsia"/>
        </w:rPr>
        <w:t>适用范围见下图1.3-1。</w:t>
      </w:r>
    </w:p>
    <w:p w14:paraId="4DF7CCDB">
      <w:pPr>
        <w:ind w:firstLine="0" w:firstLineChars="0"/>
        <w:jc w:val="center"/>
      </w:pPr>
      <w:r>
        <w:drawing>
          <wp:inline distT="0" distB="0" distL="114300" distR="114300">
            <wp:extent cx="3964940" cy="3429000"/>
            <wp:effectExtent l="0" t="0" r="16510" b="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7"/>
                    <a:stretch>
                      <a:fillRect/>
                    </a:stretch>
                  </pic:blipFill>
                  <pic:spPr>
                    <a:xfrm>
                      <a:off x="0" y="0"/>
                      <a:ext cx="3964940" cy="3429000"/>
                    </a:xfrm>
                    <a:prstGeom prst="rect">
                      <a:avLst/>
                    </a:prstGeom>
                    <a:noFill/>
                    <a:ln>
                      <a:noFill/>
                    </a:ln>
                  </pic:spPr>
                </pic:pic>
              </a:graphicData>
            </a:graphic>
          </wp:inline>
        </w:drawing>
      </w:r>
    </w:p>
    <w:p w14:paraId="26A3039E">
      <w:pPr>
        <w:ind w:firstLine="0" w:firstLineChars="0"/>
        <w:jc w:val="center"/>
        <w:rPr>
          <w:sz w:val="24"/>
          <w:szCs w:val="24"/>
        </w:rPr>
      </w:pPr>
      <w:r>
        <w:rPr>
          <w:sz w:val="24"/>
          <w:szCs w:val="24"/>
        </w:rPr>
        <w:t>图1</w:t>
      </w:r>
      <w:r>
        <w:rPr>
          <w:rFonts w:hint="eastAsia"/>
          <w:sz w:val="24"/>
          <w:szCs w:val="24"/>
        </w:rPr>
        <w:t>.3</w:t>
      </w:r>
      <w:r>
        <w:rPr>
          <w:sz w:val="24"/>
          <w:szCs w:val="24"/>
        </w:rPr>
        <w:t>-1应急预案适用范围</w:t>
      </w:r>
    </w:p>
    <w:p w14:paraId="552F16D2">
      <w:r>
        <w:t>具体指董家峪水库饮用水水源地突发环境事件，可能对水源保护区及其周边造成重大水污染事故的情况：</w:t>
      </w:r>
    </w:p>
    <w:p w14:paraId="50889BB7">
      <w:r>
        <w:t>（1</w:t>
      </w:r>
      <w:r>
        <w:rPr>
          <w:rFonts w:hint="eastAsia"/>
          <w:lang w:eastAsia="zh-CN"/>
        </w:rPr>
        <w:t>）</w:t>
      </w:r>
      <w:r>
        <w:t>暴雨、洪水等自然灾害的发生使得污染物进入董家峪水库水源地造成的水污染事件；</w:t>
      </w:r>
    </w:p>
    <w:p w14:paraId="3341E085">
      <w:r>
        <w:t>（2）由于董家峪水库水源地水质不符合《地表水环境质量标准》（GB3838-2002）相应的标准引起水质下降的环境事件；</w:t>
      </w:r>
    </w:p>
    <w:p w14:paraId="2DF01F23">
      <w:pPr>
        <w:outlineLvl w:val="3"/>
      </w:pPr>
      <w:r>
        <w:t>（3）</w:t>
      </w:r>
      <w:r>
        <w:rPr>
          <w:rFonts w:hint="eastAsia"/>
        </w:rPr>
        <w:t>其他</w:t>
      </w:r>
      <w:r>
        <w:t>意外事件造成董家峪水库水源地的水污染事故。</w:t>
      </w:r>
    </w:p>
    <w:p w14:paraId="510CBC5C">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37" w:name="_Toc4085"/>
      <w:bookmarkStart w:id="38" w:name="_Toc6896"/>
      <w:bookmarkStart w:id="39" w:name="_Toc25194"/>
      <w:bookmarkStart w:id="40" w:name="_Toc31138"/>
      <w:bookmarkStart w:id="41" w:name="_Toc426"/>
      <w:bookmarkStart w:id="42" w:name="_Toc23256"/>
      <w:bookmarkStart w:id="43" w:name="_Toc13277"/>
      <w:r>
        <w:rPr>
          <w:rFonts w:ascii="Times New Roman" w:hAnsi="Times New Roman" w:eastAsia="宋体" w:cs="Times New Roman"/>
          <w:b/>
          <w:bCs/>
          <w:kern w:val="2"/>
          <w:sz w:val="30"/>
          <w:szCs w:val="32"/>
          <w:lang w:val="en-US" w:eastAsia="zh-CN" w:bidi="ar-SA"/>
        </w:rPr>
        <w:t>1.4预案衔接</w:t>
      </w:r>
      <w:bookmarkEnd w:id="37"/>
      <w:bookmarkEnd w:id="38"/>
      <w:bookmarkEnd w:id="39"/>
      <w:bookmarkEnd w:id="40"/>
      <w:bookmarkEnd w:id="41"/>
      <w:bookmarkEnd w:id="42"/>
      <w:bookmarkEnd w:id="43"/>
    </w:p>
    <w:p w14:paraId="4B8A5E29">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1.4.1与</w:t>
      </w:r>
      <w:r>
        <w:rPr>
          <w:rFonts w:ascii="Cambria" w:hAnsi="Cambria" w:eastAsia="宋体" w:cs="Times New Roman"/>
          <w:b/>
          <w:bCs/>
          <w:kern w:val="2"/>
          <w:sz w:val="28"/>
          <w:szCs w:val="28"/>
          <w:lang w:val="en-US" w:eastAsia="zh-CN" w:bidi="ar-SA"/>
        </w:rPr>
        <w:t>《武陵源区突发环境事件应急预案》</w:t>
      </w:r>
      <w:r>
        <w:rPr>
          <w:rFonts w:hint="eastAsia" w:ascii="Cambria" w:hAnsi="Cambria" w:eastAsia="宋体" w:cs="Times New Roman"/>
          <w:b/>
          <w:bCs/>
          <w:kern w:val="2"/>
          <w:sz w:val="28"/>
          <w:szCs w:val="28"/>
          <w:lang w:val="en-US" w:eastAsia="zh-CN" w:bidi="ar-SA"/>
        </w:rPr>
        <w:t>的衔接</w:t>
      </w:r>
    </w:p>
    <w:p w14:paraId="4A5999F0">
      <w:r>
        <w:t>《武陵源区董家峪水库饮用水</w:t>
      </w:r>
      <w:r>
        <w:rPr>
          <w:rFonts w:hint="eastAsia"/>
        </w:rPr>
        <w:t>水</w:t>
      </w:r>
      <w:r>
        <w:t>源</w:t>
      </w:r>
      <w:r>
        <w:rPr>
          <w:rFonts w:hint="eastAsia"/>
        </w:rPr>
        <w:t>地</w:t>
      </w:r>
      <w:r>
        <w:t>突发环境事件应急预案》是武陵源区为应对董家峪水库饮用水水源地突发环境事件</w:t>
      </w:r>
      <w:r>
        <w:rPr>
          <w:rFonts w:hint="eastAsia"/>
        </w:rPr>
        <w:t>制定</w:t>
      </w:r>
      <w:r>
        <w:t>的，是《武陵源区突发环境事件应急预案》的专项预案，为武陵源区其他突发事件可能引发饮用水水源地突发水环境事件应急响应做参考。</w:t>
      </w:r>
    </w:p>
    <w:p w14:paraId="192F1D4C">
      <w:pPr>
        <w:rPr>
          <w:lang w:val="zh-CN"/>
        </w:rPr>
      </w:pPr>
      <w:r>
        <w:rPr>
          <w:rFonts w:hint="eastAsia"/>
        </w:rPr>
        <w:t>适用范围：</w:t>
      </w:r>
      <w:r>
        <w:t>《武陵源区突发环境事件应急预案》</w:t>
      </w:r>
      <w:r>
        <w:rPr>
          <w:lang w:val="zh-CN"/>
        </w:rPr>
        <w:t>适用于发生在</w:t>
      </w:r>
      <w:r>
        <w:rPr>
          <w:rFonts w:hint="eastAsia"/>
        </w:rPr>
        <w:t>武陵源区</w:t>
      </w:r>
      <w:r>
        <w:rPr>
          <w:lang w:val="zh-CN"/>
        </w:rPr>
        <w:t>行政区域内或者发生在</w:t>
      </w:r>
      <w:r>
        <w:rPr>
          <w:rFonts w:hint="eastAsia"/>
        </w:rPr>
        <w:t>行政区</w:t>
      </w:r>
      <w:r>
        <w:rPr>
          <w:lang w:val="zh-CN"/>
        </w:rPr>
        <w:t>外对</w:t>
      </w:r>
      <w:r>
        <w:rPr>
          <w:rFonts w:hint="eastAsia"/>
        </w:rPr>
        <w:t>武陵源区</w:t>
      </w:r>
      <w:r>
        <w:rPr>
          <w:lang w:val="zh-CN"/>
        </w:rPr>
        <w:t>有较大影响的突发环境事件应对工作。突发环境事件包括水环境污染事件、大气环境污染事件、固体废物环境污染事件和土壤环境污染事件、重金属环境污染事件，以及暴雨、洪水、滑坡等自然灾害引发的次生环境污染事件和其他环境污染事件，本预案</w:t>
      </w:r>
      <w:r>
        <w:t>适用范围为</w:t>
      </w:r>
      <w:r>
        <w:rPr>
          <w:rFonts w:hint="eastAsia"/>
        </w:rPr>
        <w:t>董家峪饮用水水源保护区</w:t>
      </w:r>
      <w:r>
        <w:t>界定范围，属于</w:t>
      </w:r>
      <w:r>
        <w:rPr>
          <w:rFonts w:hint="eastAsia"/>
        </w:rPr>
        <w:t>武陵源区</w:t>
      </w:r>
      <w:r>
        <w:t>，可以保持衔接。</w:t>
      </w:r>
    </w:p>
    <w:p w14:paraId="631A7FE1">
      <w:r>
        <w:t>组织机构方面：</w:t>
      </w:r>
      <w:r>
        <w:rPr>
          <w:lang w:val="zh-CN"/>
        </w:rPr>
        <w:t>《</w:t>
      </w:r>
      <w:r>
        <w:t>武陵源区突发环境事件应急预案</w:t>
      </w:r>
      <w:r>
        <w:rPr>
          <w:lang w:val="zh-CN"/>
        </w:rPr>
        <w:t>》成立</w:t>
      </w:r>
      <w:r>
        <w:rPr>
          <w:rFonts w:hint="eastAsia"/>
        </w:rPr>
        <w:t>武陵源区</w:t>
      </w:r>
      <w:r>
        <w:rPr>
          <w:lang w:val="zh-CN"/>
        </w:rPr>
        <w:t>突发环境事件应急指挥部，</w:t>
      </w:r>
      <w:r>
        <w:rPr>
          <w:rFonts w:hint="eastAsia"/>
        </w:rPr>
        <w:t>总</w:t>
      </w:r>
      <w:r>
        <w:rPr>
          <w:lang w:val="zh-CN"/>
        </w:rPr>
        <w:t>指挥</w:t>
      </w:r>
      <w:r>
        <w:rPr>
          <w:rFonts w:hint="eastAsia"/>
        </w:rPr>
        <w:t>由区</w:t>
      </w:r>
      <w:r>
        <w:rPr>
          <w:lang w:val="zh-CN"/>
        </w:rPr>
        <w:t>人民政府分管环保的副</w:t>
      </w:r>
      <w:r>
        <w:rPr>
          <w:rFonts w:hint="eastAsia"/>
        </w:rPr>
        <w:t>区长</w:t>
      </w:r>
      <w:r>
        <w:rPr>
          <w:lang w:val="zh-CN"/>
        </w:rPr>
        <w:t>担任，</w:t>
      </w:r>
      <w:r>
        <w:rPr>
          <w:rFonts w:hint="eastAsia"/>
        </w:rPr>
        <w:t>副总指挥由</w:t>
      </w:r>
      <w:r>
        <w:rPr>
          <w:lang w:val="zh-CN"/>
        </w:rPr>
        <w:t>区人民政府办联系生态环境工作的副主任、</w:t>
      </w:r>
      <w:r>
        <w:rPr>
          <w:rFonts w:hint="eastAsia"/>
          <w:lang w:val="zh-CN"/>
        </w:rPr>
        <w:t>市生态环境局武陵源分局</w:t>
      </w:r>
      <w:r>
        <w:rPr>
          <w:lang w:val="zh-CN"/>
        </w:rPr>
        <w:t>局长</w:t>
      </w:r>
      <w:r>
        <w:rPr>
          <w:rFonts w:hint="eastAsia"/>
        </w:rPr>
        <w:t>担任。</w:t>
      </w:r>
      <w:r>
        <w:rPr>
          <w:lang w:val="zh-CN"/>
        </w:rPr>
        <w:t>成员由区人民武装部、</w:t>
      </w:r>
      <w:r>
        <w:rPr>
          <w:rFonts w:hint="eastAsia"/>
          <w:lang w:val="zh-CN"/>
        </w:rPr>
        <w:t>市生态环境局武陵源分局</w:t>
      </w:r>
      <w:r>
        <w:rPr>
          <w:lang w:val="zh-CN"/>
        </w:rPr>
        <w:t>、</w:t>
      </w:r>
      <w:r>
        <w:rPr>
          <w:rFonts w:hint="eastAsia"/>
          <w:lang w:val="zh-CN"/>
        </w:rPr>
        <w:t>区发展改革和科技工信局</w:t>
      </w:r>
      <w:r>
        <w:rPr>
          <w:lang w:val="zh-CN"/>
        </w:rPr>
        <w:t>、</w:t>
      </w:r>
      <w:r>
        <w:rPr>
          <w:rFonts w:hint="eastAsia"/>
          <w:lang w:val="zh-CN"/>
        </w:rPr>
        <w:t>区文化旅游和商务局</w:t>
      </w:r>
      <w:r>
        <w:rPr>
          <w:lang w:val="zh-CN"/>
        </w:rPr>
        <w:t>、区教育局、</w:t>
      </w:r>
      <w:r>
        <w:rPr>
          <w:rFonts w:hint="eastAsia"/>
          <w:lang w:val="zh-CN"/>
        </w:rPr>
        <w:t>市公安局武陵源分局、</w:t>
      </w:r>
      <w:r>
        <w:rPr>
          <w:lang w:val="zh-CN"/>
        </w:rPr>
        <w:t>市交警支队直属二大队、</w:t>
      </w:r>
      <w:r>
        <w:rPr>
          <w:rFonts w:hint="eastAsia"/>
          <w:lang w:val="zh-CN"/>
        </w:rPr>
        <w:t>区民政和人力资源社会保障局</w:t>
      </w:r>
      <w:r>
        <w:rPr>
          <w:lang w:val="zh-CN"/>
        </w:rPr>
        <w:t>、区财政局、区人力资源和社会保障局、</w:t>
      </w:r>
      <w:r>
        <w:rPr>
          <w:rFonts w:hint="eastAsia"/>
          <w:lang w:val="zh-CN"/>
        </w:rPr>
        <w:t>区自然资源和林业局</w:t>
      </w:r>
      <w:r>
        <w:rPr>
          <w:lang w:val="zh-CN"/>
        </w:rPr>
        <w:t>、</w:t>
      </w:r>
      <w:r>
        <w:rPr>
          <w:rFonts w:hint="eastAsia"/>
          <w:lang w:val="zh-CN"/>
        </w:rPr>
        <w:t>区城乡建设和交通运输局</w:t>
      </w:r>
      <w:r>
        <w:rPr>
          <w:lang w:val="zh-CN"/>
        </w:rPr>
        <w:t>、</w:t>
      </w:r>
      <w:r>
        <w:rPr>
          <w:rFonts w:hint="eastAsia"/>
          <w:lang w:val="zh-CN"/>
        </w:rPr>
        <w:t>区农业农村水利局</w:t>
      </w:r>
      <w:r>
        <w:rPr>
          <w:lang w:val="zh-CN"/>
        </w:rPr>
        <w:t>、区卫生健康局、区应急管理局、区市场监督管理局、区供电公司、区电信公司、区武警中队、区消防救援大队、各乡人民</w:t>
      </w:r>
      <w:r>
        <w:rPr>
          <w:rFonts w:hint="eastAsia"/>
        </w:rPr>
        <w:t>政府等单位组成。</w:t>
      </w:r>
    </w:p>
    <w:p w14:paraId="7733EB8F">
      <w:r>
        <w:t>本预案</w:t>
      </w:r>
      <w:r>
        <w:rPr>
          <w:rFonts w:hint="eastAsia"/>
        </w:rPr>
        <w:t>总指挥由区</w:t>
      </w:r>
      <w:r>
        <w:rPr>
          <w:lang w:val="zh-CN"/>
        </w:rPr>
        <w:t>人民政府分管环保的副</w:t>
      </w:r>
      <w:r>
        <w:rPr>
          <w:rFonts w:hint="eastAsia"/>
        </w:rPr>
        <w:t>区长</w:t>
      </w:r>
      <w:r>
        <w:rPr>
          <w:lang w:val="zh-CN"/>
        </w:rPr>
        <w:t>担任</w:t>
      </w:r>
      <w:r>
        <w:t>，</w:t>
      </w:r>
      <w:r>
        <w:rPr>
          <w:rFonts w:hint="eastAsia"/>
        </w:rPr>
        <w:t>副总指挥由区应急管理局局长</w:t>
      </w:r>
      <w:r>
        <w:rPr>
          <w:lang w:val="zh-CN"/>
        </w:rPr>
        <w:t>、</w:t>
      </w:r>
      <w:r>
        <w:rPr>
          <w:rFonts w:hint="eastAsia"/>
          <w:lang w:val="zh-CN"/>
        </w:rPr>
        <w:t>市生态环境局武陵源分局</w:t>
      </w:r>
      <w:r>
        <w:rPr>
          <w:lang w:val="zh-CN"/>
        </w:rPr>
        <w:t>局长</w:t>
      </w:r>
      <w:r>
        <w:rPr>
          <w:rFonts w:hint="eastAsia"/>
        </w:rPr>
        <w:t>担任，成员由</w:t>
      </w:r>
      <w:r>
        <w:rPr>
          <w:rFonts w:hint="eastAsia"/>
          <w:lang w:val="zh-CN"/>
        </w:rPr>
        <w:t>市生态环境局武陵源分局</w:t>
      </w:r>
      <w:r>
        <w:rPr>
          <w:rFonts w:hint="eastAsia" w:ascii="Times New Roman"/>
          <w:lang w:val="zh-CN"/>
        </w:rPr>
        <w:t>、</w:t>
      </w:r>
      <w:r>
        <w:rPr>
          <w:rFonts w:hint="eastAsia"/>
          <w:lang w:val="zh-CN"/>
        </w:rPr>
        <w:t>区城乡建设和交通运输局</w:t>
      </w:r>
      <w:r>
        <w:rPr>
          <w:lang w:val="zh-CN"/>
        </w:rPr>
        <w:t>、</w:t>
      </w:r>
      <w:r>
        <w:rPr>
          <w:rFonts w:hint="eastAsia"/>
          <w:lang w:val="zh-CN"/>
        </w:rPr>
        <w:t>区农业农村水利局</w:t>
      </w:r>
      <w:r>
        <w:rPr>
          <w:lang w:val="zh-CN"/>
        </w:rPr>
        <w:t>、区卫生健康局、区应急管理局</w:t>
      </w:r>
      <w:r>
        <w:rPr>
          <w:rFonts w:hint="eastAsia"/>
        </w:rPr>
        <w:t>等单位组成，因此可以保持衔接。</w:t>
      </w:r>
    </w:p>
    <w:p w14:paraId="5CD457B1">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1.4.2与《张家界市突发环境事件应急预案》的衔接</w:t>
      </w:r>
    </w:p>
    <w:p w14:paraId="1030EC60">
      <w:r>
        <w:t>为建立健全突发环境事件应对工作机制，提高环境安全保障和应对突发环境事件的能力，预防和减少突发环境事件的风险和危害，保障人民群众生命财产安全，维护社会稳定，保护生态环境，促进经济社会高质量发展，张家界市人民政府于2021年2月发布《张家界市突发环境事件应急预案》张政办发〔2021〕5号。</w:t>
      </w:r>
    </w:p>
    <w:p w14:paraId="6A4ED0F7">
      <w:r>
        <w:t>适用范围：</w:t>
      </w:r>
      <w:r>
        <w:rPr>
          <w:lang w:val="zh-CN"/>
        </w:rPr>
        <w:t>《</w:t>
      </w:r>
      <w:r>
        <w:t>张家界市</w:t>
      </w:r>
      <w:r>
        <w:rPr>
          <w:lang w:val="zh-CN"/>
        </w:rPr>
        <w:t>突发环境事件应急预案》适用于发生在</w:t>
      </w:r>
      <w:r>
        <w:t>张家界</w:t>
      </w:r>
      <w:r>
        <w:rPr>
          <w:lang w:val="zh-CN"/>
        </w:rPr>
        <w:t>市行政区域内或者发生在市外对</w:t>
      </w:r>
      <w:r>
        <w:t>张家界</w:t>
      </w:r>
      <w:r>
        <w:rPr>
          <w:lang w:val="zh-CN"/>
        </w:rPr>
        <w:t>市有较大影响的突发环境事件应对工作。突发环境事件包括水环境污染事件、大气环境污染事件、固体废物环境污染事件和土壤环境污染事件、重金属环境污染事件，以及暴雨、洪水、滑坡等自然灾害引发的次生环境污染事件和其他环境污染事件，本预案</w:t>
      </w:r>
      <w:r>
        <w:t>适用范围为</w:t>
      </w:r>
      <w:r>
        <w:rPr>
          <w:rFonts w:hint="eastAsia"/>
        </w:rPr>
        <w:t>董家峪水库饮用水水</w:t>
      </w:r>
      <w:r>
        <w:t>源保护区界定范围，属于张家界市城市</w:t>
      </w:r>
      <w:r>
        <w:rPr>
          <w:rFonts w:hint="eastAsia"/>
        </w:rPr>
        <w:t>饮用水水</w:t>
      </w:r>
      <w:r>
        <w:t>源保护区，可以保持衔接。</w:t>
      </w:r>
    </w:p>
    <w:p w14:paraId="0191C94F">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1.4.3衔接流程</w:t>
      </w:r>
    </w:p>
    <w:p w14:paraId="7492F64F">
      <w:r>
        <w:rPr>
          <w:rFonts w:hint="eastAsia"/>
        </w:rPr>
        <w:t>整体衔接过程：</w:t>
      </w:r>
      <w:r>
        <w:t>当发生董家峪水库饮用水水源地突发环境事件</w:t>
      </w:r>
      <w:r>
        <w:rPr>
          <w:rFonts w:hint="eastAsia"/>
        </w:rPr>
        <w:t>时</w:t>
      </w:r>
      <w:r>
        <w:t>，启动本预案的同时，与《武陵源区突发环境事件应急预案》、武陵源</w:t>
      </w:r>
      <w:r>
        <w:rPr>
          <w:rFonts w:hint="eastAsia"/>
          <w:lang w:eastAsia="zh-CN"/>
        </w:rPr>
        <w:t>区农业农村水利局</w:t>
      </w:r>
      <w:r>
        <w:t>、自来水公司相关环境、调水应急预案同时启动，平行联动。当事件的危害性及影响范围超出武陵源区政府应对能力时，由张家界市政府和市</w:t>
      </w:r>
      <w:r>
        <w:rPr>
          <w:rFonts w:hint="eastAsia"/>
        </w:rPr>
        <w:t>生态环境</w:t>
      </w:r>
      <w:r>
        <w:t>局启动《张家界市突发环境事件应急预案》，统一处置。</w:t>
      </w:r>
    </w:p>
    <w:p w14:paraId="4D8EBF1D">
      <w:r>
        <w:t>发生在董家峪水库汇水区域外的突发环境事件，首先启动《武陵源区突发环境事件应急预案》，一旦污染物迁移到董家峪水库应急预案适用的地域范围，则启动该应急预案。</w:t>
      </w:r>
    </w:p>
    <w:p w14:paraId="1BEE9A4C">
      <w:pPr>
        <w:ind w:firstLine="0" w:firstLineChars="0"/>
        <w:jc w:val="center"/>
      </w:pPr>
      <w:r>
        <w:drawing>
          <wp:inline distT="0" distB="0" distL="114300" distR="114300">
            <wp:extent cx="5614035" cy="2865755"/>
            <wp:effectExtent l="0" t="0" r="5715" b="1079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8"/>
                    <a:stretch>
                      <a:fillRect/>
                    </a:stretch>
                  </pic:blipFill>
                  <pic:spPr>
                    <a:xfrm>
                      <a:off x="0" y="0"/>
                      <a:ext cx="5614035" cy="2865755"/>
                    </a:xfrm>
                    <a:prstGeom prst="rect">
                      <a:avLst/>
                    </a:prstGeom>
                    <a:noFill/>
                    <a:ln>
                      <a:noFill/>
                    </a:ln>
                  </pic:spPr>
                </pic:pic>
              </a:graphicData>
            </a:graphic>
          </wp:inline>
        </w:drawing>
      </w:r>
    </w:p>
    <w:p w14:paraId="16746D41">
      <w:pPr>
        <w:ind w:firstLine="0" w:firstLineChars="0"/>
        <w:jc w:val="center"/>
        <w:rPr>
          <w:sz w:val="24"/>
          <w:szCs w:val="24"/>
        </w:rPr>
      </w:pPr>
      <w:r>
        <w:rPr>
          <w:rFonts w:hint="eastAsia"/>
          <w:sz w:val="24"/>
          <w:szCs w:val="24"/>
        </w:rPr>
        <w:t>图1.4-1应急预案衔接流程图</w:t>
      </w:r>
    </w:p>
    <w:p w14:paraId="7FC03F23">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44" w:name="_Toc2441"/>
      <w:bookmarkStart w:id="45" w:name="_Toc28373"/>
      <w:bookmarkStart w:id="46" w:name="_Toc10804"/>
      <w:bookmarkStart w:id="47" w:name="_Toc9279"/>
      <w:bookmarkStart w:id="48" w:name="_Toc926"/>
      <w:bookmarkStart w:id="49" w:name="_Toc4186"/>
      <w:bookmarkStart w:id="50" w:name="_Toc7440"/>
      <w:r>
        <w:rPr>
          <w:rFonts w:ascii="Times New Roman" w:hAnsi="Times New Roman" w:eastAsia="宋体" w:cs="Times New Roman"/>
          <w:b/>
          <w:bCs/>
          <w:kern w:val="2"/>
          <w:sz w:val="30"/>
          <w:szCs w:val="32"/>
          <w:lang w:val="en-US" w:eastAsia="zh-CN" w:bidi="ar-SA"/>
        </w:rPr>
        <w:t>1.5工作原则</w:t>
      </w:r>
      <w:bookmarkEnd w:id="44"/>
      <w:bookmarkEnd w:id="45"/>
      <w:bookmarkEnd w:id="46"/>
      <w:bookmarkEnd w:id="47"/>
      <w:bookmarkEnd w:id="48"/>
      <w:bookmarkEnd w:id="49"/>
      <w:bookmarkEnd w:id="50"/>
    </w:p>
    <w:p w14:paraId="5385F063">
      <w:r>
        <w:t>（1）以人为本，预防为主。把保障人民群众饮用水安全作为首要任务，最大限度地减少突发环境事件造成的危害；建立环境事件风险防范体系，加强对董家峪水库危险源和潜在危险源的监测、监控、预警，提高环境事件防范和处理能力。</w:t>
      </w:r>
    </w:p>
    <w:p w14:paraId="23AA145A">
      <w:r>
        <w:t>（2）统一领导，分级管理。建立政府统一领导、部门分工协作、公众有序参与的环境应急管理体制；根据突发环境事件的范围、性质和危害程度，对应急处置工作实行分级管理。</w:t>
      </w:r>
    </w:p>
    <w:p w14:paraId="496FB090">
      <w:r>
        <w:t>（3）部门联动，相互增援。完善部门联动机制，充分发挥部门专业优势和专业应急救援力量作用，引导、鼓励实现一专多能，共同应对</w:t>
      </w:r>
      <w:r>
        <w:rPr>
          <w:rFonts w:hint="eastAsia"/>
        </w:rPr>
        <w:t>饮用水水</w:t>
      </w:r>
      <w:r>
        <w:t>源地突发环境事件。</w:t>
      </w:r>
    </w:p>
    <w:p w14:paraId="5B1B8324">
      <w:r>
        <w:t>（4）平战结合，快速反应。加强环境应急管理人员和应急处置队伍培训，积极开展</w:t>
      </w:r>
      <w:r>
        <w:rPr>
          <w:rFonts w:hint="eastAsia"/>
        </w:rPr>
        <w:t>饮用水水</w:t>
      </w:r>
      <w:r>
        <w:t>源地突发环境事件应急预案演练，掌握第一时间处置突发环境事件技能，全面提高快速反应能力。</w:t>
      </w:r>
    </w:p>
    <w:p w14:paraId="3F305371">
      <w:r>
        <w:t>（5）依靠科学，依法规范。采用先进技术，充分发挥专家作用，重视开展预防和处置</w:t>
      </w:r>
      <w:r>
        <w:rPr>
          <w:rFonts w:hint="eastAsia"/>
        </w:rPr>
        <w:t>饮用水水</w:t>
      </w:r>
      <w:r>
        <w:t>源地突发环境事件的科研和培训，为突发环境事件应急处置提供科技保障。采用先进的应急装备和技术，增强应急反应能力，依法规范应急反应工作，确保应急预案的科学性、权威性和可操作性。</w:t>
      </w:r>
    </w:p>
    <w:p w14:paraId="4372F340">
      <w:pPr>
        <w:keepNext/>
        <w:keepLines/>
        <w:widowControl w:val="0"/>
        <w:spacing w:before="200" w:after="100" w:line="416" w:lineRule="auto"/>
        <w:ind w:firstLine="0" w:firstLineChars="0"/>
        <w:jc w:val="both"/>
        <w:outlineLvl w:val="1"/>
        <w:rPr>
          <w:rFonts w:ascii="Cambria" w:hAnsi="Cambria" w:eastAsia="宋体" w:cs="Times New Roman"/>
          <w:b/>
          <w:bCs/>
          <w:kern w:val="2"/>
          <w:sz w:val="30"/>
          <w:szCs w:val="32"/>
          <w:lang w:val="en-US" w:eastAsia="zh-CN" w:bidi="ar-SA"/>
        </w:rPr>
      </w:pPr>
      <w:bookmarkStart w:id="51" w:name="_Toc7480"/>
      <w:bookmarkStart w:id="52" w:name="_Toc4715"/>
      <w:bookmarkStart w:id="53" w:name="_Toc24224"/>
      <w:bookmarkStart w:id="54" w:name="_Toc1743"/>
      <w:bookmarkStart w:id="55" w:name="_Toc27416"/>
      <w:bookmarkStart w:id="56" w:name="_Toc1643"/>
      <w:bookmarkStart w:id="57" w:name="_Toc184"/>
      <w:r>
        <w:rPr>
          <w:rFonts w:hint="eastAsia" w:ascii="Cambria" w:hAnsi="Cambria" w:eastAsia="宋体" w:cs="Times New Roman"/>
          <w:b/>
          <w:bCs/>
          <w:kern w:val="2"/>
          <w:sz w:val="30"/>
          <w:szCs w:val="32"/>
          <w:lang w:val="en-US" w:eastAsia="zh-CN" w:bidi="ar-SA"/>
        </w:rPr>
        <w:t>2</w:t>
      </w:r>
      <w:r>
        <w:rPr>
          <w:rFonts w:ascii="Cambria" w:hAnsi="Cambria" w:eastAsia="宋体" w:cs="Times New Roman"/>
          <w:b/>
          <w:bCs/>
          <w:kern w:val="2"/>
          <w:sz w:val="30"/>
          <w:szCs w:val="32"/>
          <w:lang w:val="en-US" w:eastAsia="zh-CN" w:bidi="ar-SA"/>
        </w:rPr>
        <w:t>、应急组织指挥体系</w:t>
      </w:r>
      <w:bookmarkEnd w:id="51"/>
      <w:bookmarkEnd w:id="52"/>
      <w:bookmarkEnd w:id="53"/>
      <w:bookmarkEnd w:id="54"/>
      <w:bookmarkEnd w:id="55"/>
      <w:bookmarkEnd w:id="56"/>
      <w:bookmarkEnd w:id="57"/>
    </w:p>
    <w:p w14:paraId="12B3AAD4">
      <w:r>
        <w:t>应急指挥系统是指武陵源区人民政府及其他公共机构在董家峪水库饮用水水源地突发事件的事前预防、事发应对、事中处置和善后管理过程中建立的必要的应对机制系统。按照“预防为主、自救为主、统一指挥、分工负责”的原则成立应急领导小组。其成员应来源于以下单位：区应急</w:t>
      </w:r>
      <w:r>
        <w:rPr>
          <w:rFonts w:hint="eastAsia"/>
        </w:rPr>
        <w:t>管理局</w:t>
      </w:r>
      <w:r>
        <w:t>、区纪委、</w:t>
      </w:r>
      <w:r>
        <w:rPr>
          <w:rFonts w:hint="eastAsia"/>
          <w:lang w:eastAsia="zh-CN"/>
        </w:rPr>
        <w:t>区机关事务服务中心</w:t>
      </w:r>
      <w:r>
        <w:t>、</w:t>
      </w:r>
      <w:r>
        <w:rPr>
          <w:rFonts w:hint="eastAsia"/>
          <w:lang w:eastAsia="zh-CN"/>
        </w:rPr>
        <w:t>市公安局武陵源分局</w:t>
      </w:r>
      <w:r>
        <w:t>、区财政局、</w:t>
      </w:r>
      <w:r>
        <w:rPr>
          <w:rFonts w:hint="default"/>
          <w:lang w:val="en-US" w:eastAsia="zh-CN"/>
        </w:rPr>
        <w:t>市交警直属二大队</w:t>
      </w:r>
      <w:r>
        <w:rPr>
          <w:rFonts w:hint="eastAsia"/>
        </w:rPr>
        <w:t>、</w:t>
      </w:r>
      <w:r>
        <w:rPr>
          <w:rFonts w:hint="eastAsia"/>
          <w:lang w:eastAsia="zh-CN"/>
        </w:rPr>
        <w:t>区城乡建设和交通运输局</w:t>
      </w:r>
      <w:r>
        <w:t>、</w:t>
      </w:r>
      <w:r>
        <w:rPr>
          <w:rFonts w:hint="eastAsia"/>
          <w:lang w:eastAsia="zh-CN"/>
        </w:rPr>
        <w:t>区自然资源和林业局</w:t>
      </w:r>
      <w:r>
        <w:t>、</w:t>
      </w:r>
      <w:r>
        <w:rPr>
          <w:rFonts w:hint="eastAsia"/>
          <w:lang w:eastAsia="zh-CN"/>
        </w:rPr>
        <w:t>区农业农村水利局</w:t>
      </w:r>
      <w:r>
        <w:t>、</w:t>
      </w:r>
      <w:r>
        <w:rPr>
          <w:rFonts w:hint="eastAsia"/>
          <w:lang w:eastAsia="zh-CN"/>
        </w:rPr>
        <w:t>区卫生健康局</w:t>
      </w:r>
      <w:r>
        <w:t>、</w:t>
      </w:r>
      <w:r>
        <w:rPr>
          <w:rFonts w:hint="eastAsia"/>
          <w:lang w:eastAsia="zh-CN"/>
        </w:rPr>
        <w:t>区城市管理和综合执法局</w:t>
      </w:r>
      <w:r>
        <w:t>、</w:t>
      </w:r>
      <w:r>
        <w:rPr>
          <w:rFonts w:hint="eastAsia"/>
          <w:lang w:eastAsia="zh-CN"/>
        </w:rPr>
        <w:t>市生态环境局武陵源分局</w:t>
      </w:r>
      <w:r>
        <w:t>、</w:t>
      </w:r>
      <w:r>
        <w:rPr>
          <w:rFonts w:hint="eastAsia"/>
        </w:rPr>
        <w:t>气象部门</w:t>
      </w:r>
      <w:r>
        <w:t>、</w:t>
      </w:r>
      <w:r>
        <w:rPr>
          <w:rFonts w:hint="eastAsia"/>
        </w:rPr>
        <w:t>区委宣传部</w:t>
      </w:r>
      <w:r>
        <w:rPr>
          <w:rFonts w:hint="eastAsia"/>
          <w:lang w:eastAsia="zh-CN"/>
        </w:rPr>
        <w:t>、</w:t>
      </w:r>
      <w:r>
        <w:rPr>
          <w:rFonts w:hint="eastAsia"/>
          <w:lang w:val="en-US" w:eastAsia="zh-CN"/>
        </w:rPr>
        <w:t>区融媒体中心</w:t>
      </w:r>
      <w:r>
        <w:t>、</w:t>
      </w:r>
      <w:r>
        <w:rPr>
          <w:rFonts w:hint="eastAsia"/>
          <w:lang w:eastAsia="zh-CN"/>
        </w:rPr>
        <w:t>区民政和人力资源社会保障局</w:t>
      </w:r>
      <w:r>
        <w:t>，各部门相关职责详见表2-1所示。</w:t>
      </w:r>
    </w:p>
    <w:p w14:paraId="3675E32F">
      <w:r>
        <w:t>应急组织指挥体系包括应急组织指挥机构和</w:t>
      </w:r>
      <w:r>
        <w:rPr>
          <w:rFonts w:hint="eastAsia"/>
        </w:rPr>
        <w:t>现场</w:t>
      </w:r>
      <w:r>
        <w:t>应急专项工作组。其中，应急组织指挥机构由总指挥、副总指挥及应急办公室组成；</w:t>
      </w:r>
      <w:r>
        <w:rPr>
          <w:rFonts w:hint="eastAsia"/>
        </w:rPr>
        <w:t>现场</w:t>
      </w:r>
      <w:r>
        <w:t>应急专项工作组由应急处置组、应急监测组、应急供水保障组、应急物资保障组、专家咨询组、舆情应对组组成。</w:t>
      </w:r>
    </w:p>
    <w:p w14:paraId="56E4084E">
      <w:r>
        <w:t>除此之外，依据突发环境事件影响程度和应急处置工作的需要，还包括可能的外部应急救援力量。</w:t>
      </w:r>
    </w:p>
    <w:p w14:paraId="6E219B10">
      <w:pPr>
        <w:spacing w:line="240" w:lineRule="auto"/>
        <w:ind w:firstLine="0" w:firstLineChars="0"/>
        <w:jc w:val="center"/>
        <w:rPr>
          <w:sz w:val="24"/>
          <w:szCs w:val="24"/>
        </w:rPr>
      </w:pPr>
      <w:bookmarkStart w:id="58" w:name="_Toc25522_WPSOffice_Level2"/>
      <w:bookmarkStart w:id="59" w:name="_Toc523149322"/>
      <w:bookmarkStart w:id="60" w:name="_Toc519177080"/>
      <w:bookmarkStart w:id="61" w:name="_Toc513533942"/>
      <w:r>
        <w:rPr>
          <w:sz w:val="24"/>
          <w:szCs w:val="24"/>
        </w:rPr>
        <w:t>表</w:t>
      </w:r>
      <w:r>
        <w:rPr>
          <w:rFonts w:hint="eastAsia"/>
          <w:sz w:val="24"/>
          <w:szCs w:val="24"/>
        </w:rPr>
        <w:t>2-1</w:t>
      </w:r>
      <w:r>
        <w:rPr>
          <w:sz w:val="24"/>
          <w:szCs w:val="24"/>
        </w:rPr>
        <w:t>应急组织指挥机构职责表</w:t>
      </w:r>
      <w:bookmarkEnd w:id="58"/>
      <w:bookmarkEnd w:id="59"/>
      <w:bookmarkEnd w:id="60"/>
      <w:bookmarkEnd w:id="61"/>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58"/>
        <w:gridCol w:w="7575"/>
      </w:tblGrid>
      <w:tr w14:paraId="466F7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blHeader/>
          <w:jc w:val="center"/>
        </w:trPr>
        <w:tc>
          <w:tcPr>
            <w:tcW w:w="0" w:type="auto"/>
            <w:tcBorders>
              <w:tl2br w:val="nil"/>
              <w:tr2bl w:val="nil"/>
            </w:tcBorders>
            <w:vAlign w:val="center"/>
          </w:tcPr>
          <w:p w14:paraId="777A3B07">
            <w:pPr>
              <w:spacing w:line="240" w:lineRule="auto"/>
              <w:ind w:firstLine="0" w:firstLineChars="0"/>
              <w:jc w:val="center"/>
              <w:rPr>
                <w:rFonts w:ascii="宋体" w:hAnsi="宋体" w:cs="宋体"/>
                <w:b/>
                <w:bCs/>
                <w:sz w:val="21"/>
                <w:szCs w:val="21"/>
              </w:rPr>
            </w:pPr>
            <w:r>
              <w:rPr>
                <w:rFonts w:hint="eastAsia" w:ascii="宋体" w:hAnsi="宋体" w:cs="宋体"/>
                <w:b/>
                <w:bCs/>
                <w:sz w:val="21"/>
                <w:szCs w:val="21"/>
              </w:rPr>
              <w:t>序号</w:t>
            </w:r>
          </w:p>
        </w:tc>
        <w:tc>
          <w:tcPr>
            <w:tcW w:w="0" w:type="auto"/>
            <w:tcBorders>
              <w:tl2br w:val="nil"/>
              <w:tr2bl w:val="nil"/>
            </w:tcBorders>
            <w:vAlign w:val="center"/>
          </w:tcPr>
          <w:p w14:paraId="11AB5E80">
            <w:pPr>
              <w:spacing w:line="240" w:lineRule="auto"/>
              <w:ind w:firstLine="0" w:firstLineChars="0"/>
              <w:jc w:val="center"/>
              <w:rPr>
                <w:rFonts w:ascii="宋体" w:hAnsi="宋体" w:cs="宋体"/>
                <w:b/>
                <w:bCs/>
                <w:sz w:val="21"/>
                <w:szCs w:val="21"/>
              </w:rPr>
            </w:pPr>
            <w:r>
              <w:rPr>
                <w:rFonts w:hint="eastAsia" w:ascii="宋体" w:hAnsi="宋体" w:cs="宋体"/>
                <w:b/>
                <w:bCs/>
                <w:sz w:val="21"/>
                <w:szCs w:val="21"/>
              </w:rPr>
              <w:t>部门</w:t>
            </w:r>
          </w:p>
        </w:tc>
        <w:tc>
          <w:tcPr>
            <w:tcW w:w="0" w:type="auto"/>
            <w:tcBorders>
              <w:tl2br w:val="nil"/>
              <w:tr2bl w:val="nil"/>
            </w:tcBorders>
            <w:vAlign w:val="center"/>
          </w:tcPr>
          <w:p w14:paraId="3F7A6243">
            <w:pPr>
              <w:spacing w:line="240" w:lineRule="auto"/>
              <w:ind w:firstLine="0" w:firstLineChars="0"/>
              <w:jc w:val="center"/>
              <w:rPr>
                <w:rFonts w:ascii="宋体" w:hAnsi="宋体" w:cs="宋体"/>
                <w:b/>
                <w:bCs/>
                <w:sz w:val="21"/>
                <w:szCs w:val="21"/>
              </w:rPr>
            </w:pPr>
            <w:r>
              <w:rPr>
                <w:rFonts w:hint="eastAsia" w:ascii="宋体" w:hAnsi="宋体" w:cs="宋体"/>
                <w:b/>
                <w:bCs/>
                <w:sz w:val="21"/>
                <w:szCs w:val="21"/>
              </w:rPr>
              <w:t>职责</w:t>
            </w:r>
          </w:p>
        </w:tc>
      </w:tr>
      <w:tr w14:paraId="13C50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8" w:hRule="atLeast"/>
          <w:tblHeader/>
          <w:jc w:val="center"/>
        </w:trPr>
        <w:tc>
          <w:tcPr>
            <w:tcW w:w="0" w:type="auto"/>
            <w:tcBorders>
              <w:tl2br w:val="nil"/>
              <w:tr2bl w:val="nil"/>
            </w:tcBorders>
            <w:vAlign w:val="center"/>
          </w:tcPr>
          <w:p w14:paraId="49E8977E">
            <w:pPr>
              <w:spacing w:line="240" w:lineRule="auto"/>
              <w:ind w:firstLine="0" w:firstLineChars="0"/>
              <w:jc w:val="center"/>
              <w:rPr>
                <w:rFonts w:ascii="宋体" w:hAnsi="宋体" w:cs="宋体"/>
                <w:sz w:val="21"/>
                <w:szCs w:val="21"/>
              </w:rPr>
            </w:pPr>
            <w:r>
              <w:rPr>
                <w:rFonts w:hint="eastAsia" w:ascii="宋体" w:hAnsi="宋体" w:cs="宋体"/>
                <w:sz w:val="21"/>
                <w:szCs w:val="21"/>
              </w:rPr>
              <w:t>1</w:t>
            </w:r>
          </w:p>
        </w:tc>
        <w:tc>
          <w:tcPr>
            <w:tcW w:w="0" w:type="auto"/>
            <w:tcBorders>
              <w:tl2br w:val="nil"/>
              <w:tr2bl w:val="nil"/>
            </w:tcBorders>
            <w:vAlign w:val="center"/>
          </w:tcPr>
          <w:p w14:paraId="0AD5DE99">
            <w:pPr>
              <w:spacing w:line="240" w:lineRule="auto"/>
              <w:ind w:firstLine="0" w:firstLineChars="0"/>
              <w:jc w:val="center"/>
              <w:rPr>
                <w:rFonts w:ascii="宋体" w:hAnsi="宋体" w:cs="宋体"/>
                <w:sz w:val="21"/>
                <w:szCs w:val="21"/>
              </w:rPr>
            </w:pPr>
            <w:r>
              <w:rPr>
                <w:rFonts w:hint="eastAsia" w:ascii="宋体" w:hAnsi="宋体" w:cs="宋体"/>
                <w:sz w:val="21"/>
                <w:szCs w:val="21"/>
              </w:rPr>
              <w:t>区应急管理局</w:t>
            </w:r>
          </w:p>
        </w:tc>
        <w:tc>
          <w:tcPr>
            <w:tcW w:w="0" w:type="auto"/>
            <w:tcBorders>
              <w:tl2br w:val="nil"/>
              <w:tr2bl w:val="nil"/>
            </w:tcBorders>
            <w:vAlign w:val="center"/>
          </w:tcPr>
          <w:p w14:paraId="27D51234">
            <w:pPr>
              <w:spacing w:line="240" w:lineRule="auto"/>
              <w:ind w:firstLine="0" w:firstLineChars="0"/>
              <w:jc w:val="center"/>
              <w:rPr>
                <w:rFonts w:ascii="宋体" w:hAnsi="宋体" w:cs="宋体"/>
                <w:sz w:val="21"/>
                <w:szCs w:val="21"/>
              </w:rPr>
            </w:pPr>
            <w:r>
              <w:rPr>
                <w:rFonts w:hint="eastAsia" w:ascii="宋体" w:hAnsi="宋体" w:cs="宋体"/>
                <w:sz w:val="21"/>
                <w:szCs w:val="21"/>
              </w:rPr>
              <w:t>主要职责是负责应急管理工作，指导全区应对环境污染类、自然灾害类等突发事件和综合防灾减灾救灾工作，综合协调应急预案衔接工作，组织开展饮用水水源地突发环境事件预案演练，推动应急避难设施建设；组织指导协调环境污染类、自然灾害类等突发事件应急救援等；负责重大危险源监控和重大事故隐患排查治理工作，防范因安全事故引发环境污染事件，参与因安全事故引发的突发环境污染事件的应急救援和调查处理；对环境监测设备、仪器、仪表等进行检查；负责在突发环境事件辖区公务用车参改单位车辆的集中管理和使用调配工作。</w:t>
            </w:r>
          </w:p>
        </w:tc>
      </w:tr>
      <w:tr w14:paraId="12324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004FB1B0">
            <w:pPr>
              <w:spacing w:line="240" w:lineRule="auto"/>
              <w:ind w:firstLine="0" w:firstLineChars="0"/>
              <w:jc w:val="center"/>
              <w:rPr>
                <w:rFonts w:ascii="宋体" w:hAnsi="宋体" w:cs="宋体"/>
                <w:sz w:val="21"/>
                <w:szCs w:val="21"/>
              </w:rPr>
            </w:pPr>
            <w:r>
              <w:rPr>
                <w:rFonts w:hint="eastAsia" w:ascii="宋体" w:hAnsi="宋体" w:cs="宋体"/>
                <w:sz w:val="21"/>
                <w:szCs w:val="21"/>
              </w:rPr>
              <w:t>2</w:t>
            </w:r>
          </w:p>
        </w:tc>
        <w:tc>
          <w:tcPr>
            <w:tcW w:w="0" w:type="auto"/>
            <w:tcBorders>
              <w:tl2br w:val="nil"/>
              <w:tr2bl w:val="nil"/>
            </w:tcBorders>
            <w:vAlign w:val="center"/>
          </w:tcPr>
          <w:p w14:paraId="5B5A2310">
            <w:pPr>
              <w:spacing w:line="240" w:lineRule="auto"/>
              <w:ind w:firstLine="0" w:firstLineChars="0"/>
              <w:jc w:val="center"/>
              <w:rPr>
                <w:rFonts w:ascii="宋体" w:hAnsi="宋体" w:cs="宋体"/>
                <w:sz w:val="21"/>
                <w:szCs w:val="21"/>
              </w:rPr>
            </w:pPr>
            <w:r>
              <w:rPr>
                <w:rFonts w:hint="eastAsia" w:ascii="宋体" w:hAnsi="宋体" w:cs="宋体"/>
                <w:sz w:val="21"/>
                <w:szCs w:val="21"/>
              </w:rPr>
              <w:t>区纪委</w:t>
            </w:r>
          </w:p>
        </w:tc>
        <w:tc>
          <w:tcPr>
            <w:tcW w:w="0" w:type="auto"/>
            <w:tcBorders>
              <w:tl2br w:val="nil"/>
              <w:tr2bl w:val="nil"/>
            </w:tcBorders>
            <w:vAlign w:val="center"/>
          </w:tcPr>
          <w:p w14:paraId="28EE3E06">
            <w:pPr>
              <w:spacing w:line="240" w:lineRule="auto"/>
              <w:ind w:firstLine="0" w:firstLineChars="0"/>
              <w:jc w:val="center"/>
              <w:rPr>
                <w:rFonts w:ascii="宋体" w:hAnsi="宋体" w:cs="宋体"/>
                <w:sz w:val="21"/>
                <w:szCs w:val="21"/>
              </w:rPr>
            </w:pPr>
            <w:r>
              <w:rPr>
                <w:rFonts w:hint="eastAsia" w:ascii="宋体" w:hAnsi="宋体" w:cs="宋体"/>
                <w:sz w:val="21"/>
                <w:szCs w:val="21"/>
              </w:rPr>
              <w:t>参与各监督环节污染事件调查处理，负责环境问题行政责任追究，对责任追究落实情况进行监督检查。</w:t>
            </w:r>
          </w:p>
        </w:tc>
      </w:tr>
      <w:tr w14:paraId="66AD3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2BC02061">
            <w:pPr>
              <w:spacing w:line="240" w:lineRule="auto"/>
              <w:ind w:firstLine="0" w:firstLineChars="0"/>
              <w:jc w:val="center"/>
              <w:rPr>
                <w:rFonts w:ascii="宋体" w:hAnsi="宋体" w:cs="宋体"/>
                <w:sz w:val="21"/>
                <w:szCs w:val="21"/>
              </w:rPr>
            </w:pPr>
            <w:r>
              <w:rPr>
                <w:rFonts w:hint="eastAsia" w:ascii="宋体" w:hAnsi="宋体" w:cs="宋体"/>
                <w:sz w:val="21"/>
                <w:szCs w:val="21"/>
              </w:rPr>
              <w:t>3</w:t>
            </w:r>
          </w:p>
        </w:tc>
        <w:tc>
          <w:tcPr>
            <w:tcW w:w="0" w:type="auto"/>
            <w:tcBorders>
              <w:tl2br w:val="nil"/>
              <w:tr2bl w:val="nil"/>
            </w:tcBorders>
            <w:vAlign w:val="center"/>
          </w:tcPr>
          <w:p w14:paraId="4B5AAD3F">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市公安局武陵源分局</w:t>
            </w:r>
          </w:p>
        </w:tc>
        <w:tc>
          <w:tcPr>
            <w:tcW w:w="0" w:type="auto"/>
            <w:tcBorders>
              <w:tl2br w:val="nil"/>
              <w:tr2bl w:val="nil"/>
            </w:tcBorders>
            <w:vAlign w:val="center"/>
          </w:tcPr>
          <w:p w14:paraId="2AE8CC7C">
            <w:pPr>
              <w:spacing w:line="240" w:lineRule="auto"/>
              <w:ind w:firstLine="0" w:firstLineChars="0"/>
              <w:jc w:val="center"/>
              <w:rPr>
                <w:rFonts w:ascii="宋体" w:hAnsi="宋体" w:cs="宋体"/>
                <w:sz w:val="21"/>
                <w:szCs w:val="21"/>
              </w:rPr>
            </w:pPr>
            <w:r>
              <w:rPr>
                <w:rFonts w:hint="eastAsia" w:ascii="宋体" w:hAnsi="宋体" w:cs="宋体"/>
                <w:sz w:val="21"/>
                <w:szCs w:val="21"/>
              </w:rPr>
              <w:t>负责维护事故现场治安秩序，依法查处涉嫌环境刑事犯罪案件和因环境违法需给予拘留等行政处罚的治安管理案件；依法对污染事故责任人作出处理。</w:t>
            </w:r>
          </w:p>
        </w:tc>
      </w:tr>
      <w:tr w14:paraId="2F38D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32A8230A">
            <w:pPr>
              <w:spacing w:line="240" w:lineRule="auto"/>
              <w:ind w:firstLine="0" w:firstLineChars="0"/>
              <w:jc w:val="center"/>
              <w:rPr>
                <w:rFonts w:ascii="宋体" w:hAnsi="宋体" w:cs="宋体"/>
                <w:sz w:val="21"/>
                <w:szCs w:val="21"/>
              </w:rPr>
            </w:pPr>
            <w:r>
              <w:rPr>
                <w:rFonts w:hint="eastAsia" w:ascii="宋体" w:hAnsi="宋体" w:cs="宋体"/>
                <w:sz w:val="21"/>
                <w:szCs w:val="21"/>
              </w:rPr>
              <w:t>4</w:t>
            </w:r>
          </w:p>
        </w:tc>
        <w:tc>
          <w:tcPr>
            <w:tcW w:w="0" w:type="auto"/>
            <w:tcBorders>
              <w:tl2br w:val="nil"/>
              <w:tr2bl w:val="nil"/>
            </w:tcBorders>
            <w:vAlign w:val="center"/>
          </w:tcPr>
          <w:p w14:paraId="4EEF0B82">
            <w:pPr>
              <w:spacing w:line="240" w:lineRule="auto"/>
              <w:ind w:firstLine="0" w:firstLineChars="0"/>
              <w:jc w:val="center"/>
              <w:rPr>
                <w:rFonts w:ascii="宋体" w:hAnsi="宋体" w:cs="宋体"/>
                <w:sz w:val="21"/>
                <w:szCs w:val="21"/>
              </w:rPr>
            </w:pPr>
            <w:r>
              <w:rPr>
                <w:rFonts w:hint="eastAsia" w:ascii="宋体" w:hAnsi="宋体" w:cs="宋体"/>
                <w:sz w:val="21"/>
                <w:szCs w:val="21"/>
              </w:rPr>
              <w:t>区财政局</w:t>
            </w:r>
          </w:p>
        </w:tc>
        <w:tc>
          <w:tcPr>
            <w:tcW w:w="0" w:type="auto"/>
            <w:tcBorders>
              <w:tl2br w:val="nil"/>
              <w:tr2bl w:val="nil"/>
            </w:tcBorders>
            <w:vAlign w:val="center"/>
          </w:tcPr>
          <w:p w14:paraId="74992467">
            <w:pPr>
              <w:spacing w:line="240" w:lineRule="auto"/>
              <w:ind w:firstLine="0" w:firstLineChars="0"/>
              <w:jc w:val="center"/>
              <w:rPr>
                <w:rFonts w:ascii="宋体" w:hAnsi="宋体" w:cs="宋体"/>
                <w:sz w:val="21"/>
                <w:szCs w:val="21"/>
              </w:rPr>
            </w:pPr>
            <w:r>
              <w:rPr>
                <w:rFonts w:hint="eastAsia" w:ascii="宋体" w:hAnsi="宋体" w:cs="宋体"/>
                <w:sz w:val="21"/>
                <w:szCs w:val="21"/>
              </w:rPr>
              <w:t>负责饮用水水源地突发环境事件应急保障经费预算和拨付；负责饮用水水源地突发环境事件应急处置资金支付和报销等；根据有关规定安排应急工作所必需的通讯和信息化设备、监测仪器、防护用具、应急交通工具等经费，确保重特大涉及饮用水源地突发环境事件预防、监测、处置等工作的正常进行，并监督资金的使用。</w:t>
            </w:r>
          </w:p>
        </w:tc>
      </w:tr>
      <w:tr w14:paraId="7AC29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2A1FC520">
            <w:pPr>
              <w:spacing w:line="240" w:lineRule="auto"/>
              <w:ind w:firstLine="0" w:firstLineChars="0"/>
              <w:jc w:val="center"/>
              <w:rPr>
                <w:rFonts w:ascii="宋体" w:hAnsi="宋体" w:cs="宋体"/>
                <w:sz w:val="21"/>
                <w:szCs w:val="21"/>
              </w:rPr>
            </w:pPr>
            <w:r>
              <w:rPr>
                <w:rFonts w:hint="eastAsia" w:ascii="宋体" w:hAnsi="宋体" w:cs="宋体"/>
                <w:sz w:val="21"/>
                <w:szCs w:val="21"/>
              </w:rPr>
              <w:t>5</w:t>
            </w:r>
          </w:p>
        </w:tc>
        <w:tc>
          <w:tcPr>
            <w:tcW w:w="0" w:type="auto"/>
            <w:tcBorders>
              <w:tl2br w:val="nil"/>
              <w:tr2bl w:val="nil"/>
            </w:tcBorders>
            <w:vAlign w:val="center"/>
          </w:tcPr>
          <w:p w14:paraId="5ECB9FB1">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区自然资源和林业局</w:t>
            </w:r>
          </w:p>
        </w:tc>
        <w:tc>
          <w:tcPr>
            <w:tcW w:w="0" w:type="auto"/>
            <w:tcBorders>
              <w:tl2br w:val="nil"/>
              <w:tr2bl w:val="nil"/>
            </w:tcBorders>
            <w:vAlign w:val="center"/>
          </w:tcPr>
          <w:p w14:paraId="691A012C">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rPr>
              <w:t>开展地质和生态保护工作，防止矿山地质灾害，配合其他部门进行应急处置工作</w:t>
            </w:r>
            <w:r>
              <w:rPr>
                <w:rFonts w:hint="eastAsia" w:ascii="宋体" w:hAnsi="宋体" w:cs="宋体"/>
                <w:sz w:val="21"/>
                <w:szCs w:val="21"/>
                <w:lang w:eastAsia="zh-CN"/>
              </w:rPr>
              <w:t>；</w:t>
            </w:r>
            <w:r>
              <w:rPr>
                <w:rFonts w:hint="eastAsia" w:ascii="宋体" w:hAnsi="宋体" w:cs="宋体"/>
                <w:sz w:val="21"/>
                <w:szCs w:val="21"/>
              </w:rPr>
              <w:t>负责水库、河流周边的生态建设进行监督管理，对突发山体火灾会同有关部门进行火灾原因调查，并对周边植被进行生态恢复。</w:t>
            </w:r>
          </w:p>
        </w:tc>
      </w:tr>
      <w:tr w14:paraId="49C2B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1" w:hRule="atLeast"/>
          <w:tblHeader/>
          <w:jc w:val="center"/>
        </w:trPr>
        <w:tc>
          <w:tcPr>
            <w:tcW w:w="0" w:type="auto"/>
            <w:tcBorders>
              <w:tl2br w:val="nil"/>
              <w:tr2bl w:val="nil"/>
            </w:tcBorders>
            <w:vAlign w:val="center"/>
          </w:tcPr>
          <w:p w14:paraId="4A19516C">
            <w:pPr>
              <w:spacing w:line="240" w:lineRule="auto"/>
              <w:ind w:firstLine="0" w:firstLineChars="0"/>
              <w:jc w:val="center"/>
              <w:rPr>
                <w:rFonts w:ascii="宋体" w:hAnsi="宋体" w:cs="宋体"/>
                <w:sz w:val="21"/>
                <w:szCs w:val="21"/>
              </w:rPr>
            </w:pPr>
            <w:r>
              <w:rPr>
                <w:rFonts w:hint="eastAsia" w:ascii="宋体" w:hAnsi="宋体" w:cs="宋体"/>
                <w:sz w:val="21"/>
                <w:szCs w:val="21"/>
              </w:rPr>
              <w:t>6</w:t>
            </w:r>
          </w:p>
        </w:tc>
        <w:tc>
          <w:tcPr>
            <w:tcW w:w="0" w:type="auto"/>
            <w:tcBorders>
              <w:tl2br w:val="nil"/>
              <w:tr2bl w:val="nil"/>
            </w:tcBorders>
            <w:vAlign w:val="center"/>
          </w:tcPr>
          <w:p w14:paraId="7FA10703">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rPr>
              <w:t>市交警支队直属二大队、</w:t>
            </w:r>
            <w:r>
              <w:rPr>
                <w:rFonts w:hint="eastAsia" w:ascii="宋体" w:hAnsi="宋体" w:cs="宋体"/>
                <w:sz w:val="21"/>
                <w:szCs w:val="21"/>
                <w:lang w:eastAsia="zh-CN"/>
              </w:rPr>
              <w:t>区城乡建设和交通运输局</w:t>
            </w:r>
          </w:p>
        </w:tc>
        <w:tc>
          <w:tcPr>
            <w:tcW w:w="0" w:type="auto"/>
            <w:tcBorders>
              <w:tl2br w:val="nil"/>
              <w:tr2bl w:val="nil"/>
            </w:tcBorders>
            <w:vAlign w:val="center"/>
          </w:tcPr>
          <w:p w14:paraId="6BC27B19">
            <w:pPr>
              <w:spacing w:line="240" w:lineRule="auto"/>
              <w:ind w:firstLine="0" w:firstLineChars="0"/>
              <w:jc w:val="center"/>
              <w:rPr>
                <w:rFonts w:ascii="宋体" w:hAnsi="宋体" w:cs="宋体"/>
                <w:sz w:val="21"/>
                <w:szCs w:val="21"/>
              </w:rPr>
            </w:pPr>
            <w:r>
              <w:rPr>
                <w:rFonts w:hint="eastAsia" w:ascii="宋体" w:hAnsi="宋体" w:cs="宋体"/>
                <w:sz w:val="21"/>
                <w:szCs w:val="21"/>
              </w:rPr>
              <w:t>负责保障便捷畅通的应急交通运输渠道，组织提供群众紧急疏散的交通工具、确保应急人员和物资迅速到达。协助处置交通事故导致的饮用水水源地突发环境事件，并在事故发生后，确保应急物资运输车辆快速通行；协助交通应急管制工作，协助调度应急通告路线和应急车辆保障，保证各类交通运输工具在应急行动时优先运送应急物资和人员转移疏散。</w:t>
            </w:r>
          </w:p>
        </w:tc>
      </w:tr>
      <w:tr w14:paraId="7B959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20C7C514">
            <w:pPr>
              <w:spacing w:line="240" w:lineRule="auto"/>
              <w:ind w:firstLine="0" w:firstLineChars="0"/>
              <w:jc w:val="center"/>
              <w:rPr>
                <w:rFonts w:ascii="宋体" w:hAnsi="宋体" w:cs="宋体"/>
                <w:sz w:val="21"/>
                <w:szCs w:val="21"/>
              </w:rPr>
            </w:pPr>
            <w:r>
              <w:rPr>
                <w:rFonts w:hint="eastAsia" w:ascii="宋体" w:hAnsi="宋体" w:cs="宋体"/>
                <w:sz w:val="21"/>
                <w:szCs w:val="21"/>
              </w:rPr>
              <w:t>7</w:t>
            </w:r>
          </w:p>
        </w:tc>
        <w:tc>
          <w:tcPr>
            <w:tcW w:w="0" w:type="auto"/>
            <w:tcBorders>
              <w:tl2br w:val="nil"/>
              <w:tr2bl w:val="nil"/>
            </w:tcBorders>
            <w:vAlign w:val="center"/>
          </w:tcPr>
          <w:p w14:paraId="0D6019D2">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区农业农村水利局</w:t>
            </w:r>
          </w:p>
        </w:tc>
        <w:tc>
          <w:tcPr>
            <w:tcW w:w="0" w:type="auto"/>
            <w:tcBorders>
              <w:tl2br w:val="nil"/>
              <w:tr2bl w:val="nil"/>
            </w:tcBorders>
            <w:vAlign w:val="center"/>
          </w:tcPr>
          <w:p w14:paraId="23625E0B">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rPr>
              <w:t>拟定水资源保护规划，划定水功能区，负责集中式饮用水水源保护工作，水厂建设及饮用水安全，依法开展水功能区水质监测，加强水厂监管，保障出水水质；对突发水环境事件进行应急处置及应急监测</w:t>
            </w:r>
            <w:r>
              <w:rPr>
                <w:rFonts w:hint="eastAsia" w:ascii="宋体" w:hAnsi="宋体" w:cs="宋体"/>
                <w:sz w:val="21"/>
                <w:szCs w:val="21"/>
                <w:lang w:eastAsia="zh-CN"/>
              </w:rPr>
              <w:t>；</w:t>
            </w:r>
            <w:r>
              <w:rPr>
                <w:rFonts w:hint="eastAsia" w:ascii="宋体" w:hAnsi="宋体" w:cs="宋体"/>
                <w:sz w:val="21"/>
                <w:szCs w:val="21"/>
              </w:rPr>
              <w:t>在事故影响状态下，停止饮用水水源内农灌水取用，会同</w:t>
            </w:r>
            <w:r>
              <w:rPr>
                <w:rFonts w:hint="eastAsia" w:ascii="宋体" w:hAnsi="宋体" w:cs="宋体"/>
                <w:sz w:val="21"/>
                <w:szCs w:val="21"/>
                <w:lang w:eastAsia="zh-CN"/>
              </w:rPr>
              <w:t>市生态环境局武陵源分局</w:t>
            </w:r>
            <w:r>
              <w:rPr>
                <w:rFonts w:hint="eastAsia" w:ascii="宋体" w:hAnsi="宋体" w:cs="宋体"/>
                <w:sz w:val="21"/>
                <w:szCs w:val="21"/>
              </w:rPr>
              <w:t>共同管理本行政区域内土壤、耕地等基本地理信息数据；负责全区畜禽养殖的污染治理，负责病死动物无害化处理、渔业污染事故处理</w:t>
            </w:r>
            <w:r>
              <w:rPr>
                <w:rFonts w:hint="eastAsia" w:ascii="宋体" w:hAnsi="宋体" w:cs="宋体"/>
                <w:sz w:val="21"/>
                <w:szCs w:val="21"/>
                <w:lang w:eastAsia="zh-CN"/>
              </w:rPr>
              <w:t>；</w:t>
            </w:r>
            <w:r>
              <w:rPr>
                <w:rFonts w:hint="eastAsia" w:ascii="宋体" w:hAnsi="宋体" w:cs="宋体"/>
                <w:sz w:val="21"/>
                <w:szCs w:val="21"/>
              </w:rPr>
              <w:t>负责在突发环境事件下对饮用水水源地的水文情势进行应急监测。</w:t>
            </w:r>
          </w:p>
        </w:tc>
      </w:tr>
      <w:tr w14:paraId="3B77F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6" w:hRule="atLeast"/>
          <w:tblHeader/>
          <w:jc w:val="center"/>
        </w:trPr>
        <w:tc>
          <w:tcPr>
            <w:tcW w:w="0" w:type="auto"/>
            <w:tcBorders>
              <w:tl2br w:val="nil"/>
              <w:tr2bl w:val="nil"/>
            </w:tcBorders>
            <w:vAlign w:val="center"/>
          </w:tcPr>
          <w:p w14:paraId="4EDB5FDD">
            <w:pPr>
              <w:spacing w:line="240" w:lineRule="auto"/>
              <w:ind w:firstLine="0" w:firstLineChars="0"/>
              <w:jc w:val="center"/>
              <w:rPr>
                <w:rFonts w:ascii="宋体" w:hAnsi="宋体" w:cs="宋体"/>
                <w:sz w:val="21"/>
                <w:szCs w:val="21"/>
              </w:rPr>
            </w:pPr>
            <w:r>
              <w:rPr>
                <w:rFonts w:hint="eastAsia" w:ascii="宋体" w:hAnsi="宋体" w:cs="宋体"/>
                <w:sz w:val="21"/>
                <w:szCs w:val="21"/>
              </w:rPr>
              <w:t>8</w:t>
            </w:r>
          </w:p>
        </w:tc>
        <w:tc>
          <w:tcPr>
            <w:tcW w:w="1058" w:type="dxa"/>
            <w:tcBorders>
              <w:tl2br w:val="nil"/>
              <w:tr2bl w:val="nil"/>
            </w:tcBorders>
            <w:vAlign w:val="center"/>
          </w:tcPr>
          <w:p w14:paraId="64186D28">
            <w:pPr>
              <w:spacing w:line="240" w:lineRule="auto"/>
              <w:ind w:firstLine="0" w:firstLineChars="0"/>
              <w:jc w:val="center"/>
              <w:rPr>
                <w:rFonts w:ascii="宋体" w:hAnsi="宋体" w:cs="宋体"/>
                <w:sz w:val="21"/>
                <w:szCs w:val="21"/>
              </w:rPr>
            </w:pPr>
            <w:r>
              <w:rPr>
                <w:rFonts w:hint="eastAsia" w:ascii="宋体" w:hAnsi="宋体" w:cs="宋体"/>
                <w:sz w:val="21"/>
                <w:szCs w:val="21"/>
              </w:rPr>
              <w:t>区委宣传部、</w:t>
            </w:r>
            <w:r>
              <w:rPr>
                <w:rFonts w:hint="eastAsia" w:ascii="宋体" w:hAnsi="宋体" w:cs="宋体"/>
                <w:sz w:val="21"/>
                <w:szCs w:val="21"/>
                <w:lang w:val="en-US" w:eastAsia="zh-CN"/>
              </w:rPr>
              <w:t>区融媒体中心</w:t>
            </w:r>
            <w:r>
              <w:rPr>
                <w:rFonts w:hint="eastAsia" w:ascii="宋体" w:hAnsi="宋体" w:cs="宋体"/>
                <w:sz w:val="21"/>
                <w:szCs w:val="21"/>
              </w:rPr>
              <w:t>、中国移动、中国联通</w:t>
            </w:r>
          </w:p>
        </w:tc>
        <w:tc>
          <w:tcPr>
            <w:tcW w:w="7575" w:type="dxa"/>
            <w:tcBorders>
              <w:tl2br w:val="nil"/>
              <w:tr2bl w:val="nil"/>
            </w:tcBorders>
            <w:vAlign w:val="center"/>
          </w:tcPr>
          <w:p w14:paraId="08450D2F">
            <w:pPr>
              <w:spacing w:line="240" w:lineRule="auto"/>
              <w:ind w:firstLine="0" w:firstLineChars="0"/>
              <w:jc w:val="center"/>
              <w:rPr>
                <w:rFonts w:ascii="宋体" w:hAnsi="宋体" w:cs="宋体"/>
                <w:sz w:val="21"/>
                <w:szCs w:val="21"/>
              </w:rPr>
            </w:pPr>
            <w:r>
              <w:rPr>
                <w:rFonts w:hint="eastAsia" w:ascii="宋体" w:hAnsi="宋体" w:cs="宋体"/>
                <w:sz w:val="21"/>
                <w:szCs w:val="21"/>
              </w:rPr>
              <w:t>区委宣传部</w:t>
            </w:r>
            <w:r>
              <w:rPr>
                <w:rFonts w:hint="eastAsia" w:ascii="宋体" w:hAnsi="宋体" w:cs="宋体"/>
                <w:sz w:val="21"/>
                <w:szCs w:val="21"/>
                <w:lang w:val="en-US" w:eastAsia="zh-CN"/>
              </w:rPr>
              <w:t>与区融媒体中心</w:t>
            </w:r>
            <w:r>
              <w:rPr>
                <w:rFonts w:hint="eastAsia" w:ascii="宋体" w:hAnsi="宋体" w:cs="宋体"/>
                <w:sz w:val="21"/>
                <w:szCs w:val="21"/>
              </w:rPr>
              <w:t>组织引导媒体在突发环境事件下的信息发布、通报公开等工作；</w:t>
            </w:r>
          </w:p>
          <w:p w14:paraId="20C07D08">
            <w:pPr>
              <w:spacing w:line="240" w:lineRule="auto"/>
              <w:ind w:firstLine="0" w:firstLineChars="0"/>
              <w:jc w:val="center"/>
              <w:rPr>
                <w:rFonts w:ascii="宋体" w:hAnsi="宋体" w:cs="宋体"/>
                <w:sz w:val="21"/>
                <w:szCs w:val="21"/>
              </w:rPr>
            </w:pPr>
            <w:r>
              <w:rPr>
                <w:rFonts w:hint="eastAsia" w:ascii="宋体" w:hAnsi="宋体" w:cs="宋体"/>
                <w:sz w:val="21"/>
                <w:szCs w:val="21"/>
              </w:rPr>
              <w:t>中国移动、中国联通负责保障事故应急响应过程中通信工作，保障信息传递的及时</w:t>
            </w:r>
          </w:p>
        </w:tc>
      </w:tr>
      <w:tr w14:paraId="1D04F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662835E3">
            <w:pPr>
              <w:spacing w:line="240" w:lineRule="auto"/>
              <w:ind w:firstLine="0" w:firstLineChars="0"/>
              <w:jc w:val="center"/>
              <w:rPr>
                <w:rFonts w:ascii="宋体" w:hAnsi="宋体" w:cs="宋体"/>
                <w:sz w:val="21"/>
                <w:szCs w:val="21"/>
              </w:rPr>
            </w:pPr>
            <w:r>
              <w:rPr>
                <w:rFonts w:hint="eastAsia" w:ascii="宋体" w:hAnsi="宋体" w:cs="宋体"/>
                <w:sz w:val="21"/>
                <w:szCs w:val="21"/>
              </w:rPr>
              <w:t>9</w:t>
            </w:r>
          </w:p>
        </w:tc>
        <w:tc>
          <w:tcPr>
            <w:tcW w:w="1058" w:type="dxa"/>
            <w:tcBorders>
              <w:tl2br w:val="nil"/>
              <w:tr2bl w:val="nil"/>
            </w:tcBorders>
            <w:vAlign w:val="center"/>
          </w:tcPr>
          <w:p w14:paraId="1B97185E">
            <w:pPr>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区民政和人力资源社会保障局</w:t>
            </w:r>
          </w:p>
        </w:tc>
        <w:tc>
          <w:tcPr>
            <w:tcW w:w="7575" w:type="dxa"/>
            <w:tcBorders>
              <w:tl2br w:val="nil"/>
              <w:tr2bl w:val="nil"/>
            </w:tcBorders>
            <w:vAlign w:val="center"/>
          </w:tcPr>
          <w:p w14:paraId="7BF51CD4">
            <w:pPr>
              <w:spacing w:line="240" w:lineRule="auto"/>
              <w:ind w:firstLine="0" w:firstLineChars="0"/>
              <w:jc w:val="center"/>
              <w:rPr>
                <w:rFonts w:ascii="宋体" w:hAnsi="宋体" w:cs="宋体"/>
                <w:sz w:val="21"/>
                <w:szCs w:val="21"/>
              </w:rPr>
            </w:pPr>
            <w:r>
              <w:rPr>
                <w:rFonts w:hint="eastAsia" w:ascii="宋体" w:hAnsi="宋体" w:cs="宋体"/>
                <w:sz w:val="21"/>
                <w:szCs w:val="21"/>
              </w:rPr>
              <w:t>负责根据事故危害和受损害程度，做好符合救援条件的困难群众的生活救助工作。</w:t>
            </w:r>
          </w:p>
        </w:tc>
      </w:tr>
      <w:tr w14:paraId="29B87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46217781">
            <w:pPr>
              <w:spacing w:line="240" w:lineRule="auto"/>
              <w:ind w:firstLine="0" w:firstLineChars="0"/>
              <w:jc w:val="center"/>
              <w:rPr>
                <w:rFonts w:ascii="宋体" w:hAnsi="宋体" w:cs="宋体"/>
                <w:sz w:val="21"/>
                <w:szCs w:val="21"/>
              </w:rPr>
            </w:pPr>
            <w:r>
              <w:rPr>
                <w:rFonts w:hint="eastAsia" w:ascii="宋体" w:hAnsi="宋体" w:cs="宋体"/>
                <w:sz w:val="21"/>
                <w:szCs w:val="21"/>
              </w:rPr>
              <w:t>10</w:t>
            </w:r>
          </w:p>
        </w:tc>
        <w:tc>
          <w:tcPr>
            <w:tcW w:w="0" w:type="auto"/>
            <w:tcBorders>
              <w:tl2br w:val="nil"/>
              <w:tr2bl w:val="nil"/>
            </w:tcBorders>
            <w:vAlign w:val="center"/>
          </w:tcPr>
          <w:p w14:paraId="37548CB8">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区卫生健康局</w:t>
            </w:r>
          </w:p>
        </w:tc>
        <w:tc>
          <w:tcPr>
            <w:tcW w:w="0" w:type="auto"/>
            <w:tcBorders>
              <w:tl2br w:val="nil"/>
              <w:tr2bl w:val="nil"/>
            </w:tcBorders>
            <w:vAlign w:val="center"/>
          </w:tcPr>
          <w:p w14:paraId="36BC178D">
            <w:pPr>
              <w:spacing w:line="240" w:lineRule="auto"/>
              <w:ind w:firstLine="0" w:firstLineChars="0"/>
              <w:jc w:val="center"/>
              <w:rPr>
                <w:rFonts w:ascii="宋体" w:hAnsi="宋体" w:cs="宋体"/>
                <w:sz w:val="21"/>
                <w:szCs w:val="21"/>
              </w:rPr>
            </w:pPr>
            <w:r>
              <w:rPr>
                <w:rFonts w:hint="eastAsia" w:ascii="宋体" w:hAnsi="宋体" w:cs="宋体"/>
                <w:sz w:val="21"/>
                <w:szCs w:val="21"/>
              </w:rPr>
              <w:t>对自来水厂出厂饮用水进行卫生监督检查，负责组织协调重特大涉及饮用水水源地突发环境事件的应急医疗卫生救援工作，并及时为地方卫生部门提供技术支持，开展环境与健康检查、调查和风险评估环境质量对公众健康影响的研究，预防和控制因环境污染引发的疾病。</w:t>
            </w:r>
          </w:p>
        </w:tc>
      </w:tr>
      <w:tr w14:paraId="54947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61567754">
            <w:pPr>
              <w:spacing w:line="240" w:lineRule="auto"/>
              <w:ind w:firstLine="0" w:firstLineChars="0"/>
              <w:jc w:val="center"/>
              <w:rPr>
                <w:rFonts w:ascii="宋体" w:hAnsi="宋体" w:cs="宋体"/>
                <w:sz w:val="21"/>
                <w:szCs w:val="21"/>
              </w:rPr>
            </w:pPr>
            <w:r>
              <w:rPr>
                <w:rFonts w:hint="eastAsia" w:ascii="宋体" w:hAnsi="宋体" w:cs="宋体"/>
                <w:sz w:val="21"/>
                <w:szCs w:val="21"/>
              </w:rPr>
              <w:t>11</w:t>
            </w:r>
          </w:p>
        </w:tc>
        <w:tc>
          <w:tcPr>
            <w:tcW w:w="0" w:type="auto"/>
            <w:tcBorders>
              <w:tl2br w:val="nil"/>
              <w:tr2bl w:val="nil"/>
            </w:tcBorders>
            <w:vAlign w:val="center"/>
          </w:tcPr>
          <w:p w14:paraId="55171A75">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区城市管理和综合执法局</w:t>
            </w:r>
          </w:p>
        </w:tc>
        <w:tc>
          <w:tcPr>
            <w:tcW w:w="0" w:type="auto"/>
            <w:tcBorders>
              <w:tl2br w:val="nil"/>
              <w:tr2bl w:val="nil"/>
            </w:tcBorders>
            <w:vAlign w:val="center"/>
          </w:tcPr>
          <w:p w14:paraId="07463975">
            <w:pPr>
              <w:spacing w:line="240" w:lineRule="auto"/>
              <w:ind w:firstLine="0" w:firstLineChars="0"/>
              <w:jc w:val="center"/>
              <w:rPr>
                <w:rFonts w:ascii="宋体" w:hAnsi="宋体" w:cs="宋体"/>
                <w:sz w:val="21"/>
                <w:szCs w:val="21"/>
              </w:rPr>
            </w:pPr>
            <w:r>
              <w:rPr>
                <w:rFonts w:hint="eastAsia" w:ascii="宋体" w:hAnsi="宋体" w:cs="宋体"/>
                <w:sz w:val="21"/>
                <w:szCs w:val="21"/>
              </w:rPr>
              <w:t>负责协调和指导供水部门做好涉及饮用水源重、特大突发环境事件的相关工作，确保城市供水正常运行。</w:t>
            </w:r>
          </w:p>
        </w:tc>
      </w:tr>
      <w:tr w14:paraId="7D586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6176CE0F">
            <w:pPr>
              <w:spacing w:line="240" w:lineRule="auto"/>
              <w:ind w:firstLine="0" w:firstLineChars="0"/>
              <w:jc w:val="center"/>
              <w:rPr>
                <w:rFonts w:ascii="宋体" w:hAnsi="宋体" w:cs="宋体"/>
                <w:sz w:val="21"/>
                <w:szCs w:val="21"/>
              </w:rPr>
            </w:pPr>
            <w:r>
              <w:rPr>
                <w:rFonts w:hint="eastAsia" w:ascii="宋体" w:hAnsi="宋体" w:cs="宋体"/>
                <w:sz w:val="21"/>
                <w:szCs w:val="21"/>
              </w:rPr>
              <w:t>12</w:t>
            </w:r>
          </w:p>
        </w:tc>
        <w:tc>
          <w:tcPr>
            <w:tcW w:w="0" w:type="auto"/>
            <w:tcBorders>
              <w:tl2br w:val="nil"/>
              <w:tr2bl w:val="nil"/>
            </w:tcBorders>
            <w:vAlign w:val="center"/>
          </w:tcPr>
          <w:p w14:paraId="1C1BE8B7">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市生态环境局武陵源分局</w:t>
            </w:r>
          </w:p>
        </w:tc>
        <w:tc>
          <w:tcPr>
            <w:tcW w:w="0" w:type="auto"/>
            <w:tcBorders>
              <w:tl2br w:val="nil"/>
              <w:tr2bl w:val="nil"/>
            </w:tcBorders>
            <w:vAlign w:val="center"/>
          </w:tcPr>
          <w:p w14:paraId="5A58C58D">
            <w:pPr>
              <w:spacing w:line="240" w:lineRule="auto"/>
              <w:ind w:firstLine="0" w:firstLineChars="0"/>
              <w:jc w:val="center"/>
              <w:rPr>
                <w:rFonts w:ascii="宋体" w:hAnsi="宋体" w:cs="宋体"/>
                <w:sz w:val="21"/>
                <w:szCs w:val="21"/>
              </w:rPr>
            </w:pPr>
            <w:r>
              <w:rPr>
                <w:rFonts w:hint="eastAsia" w:ascii="宋体" w:hAnsi="宋体" w:cs="宋体"/>
                <w:sz w:val="21"/>
                <w:szCs w:val="21"/>
              </w:rPr>
              <w:t>进行应急监测及水源地污染物削减相关设备和样品购置、日常维护及管理；负责组织突发环境污染事故应急处理；协同相关部门分析污染事故原因，判明污染物，提出处理意见，防止污染扩大；结合专家组意见对环境污染事故的性质、等级和危害做出恰当的认定，负责跟踪污染动态情况，对建立和解除污染警报的时间、区域提出建议；对环境恢复、生态修复提出整改措施。</w:t>
            </w:r>
          </w:p>
        </w:tc>
      </w:tr>
      <w:tr w14:paraId="21368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45D7ACD5">
            <w:pPr>
              <w:spacing w:line="240" w:lineRule="auto"/>
              <w:ind w:firstLine="0" w:firstLineChars="0"/>
              <w:jc w:val="center"/>
              <w:rPr>
                <w:rFonts w:ascii="宋体" w:hAnsi="宋体" w:cs="宋体"/>
                <w:sz w:val="21"/>
                <w:szCs w:val="21"/>
              </w:rPr>
            </w:pPr>
            <w:r>
              <w:rPr>
                <w:rFonts w:hint="eastAsia" w:ascii="宋体" w:hAnsi="宋体" w:cs="宋体"/>
                <w:sz w:val="21"/>
                <w:szCs w:val="21"/>
              </w:rPr>
              <w:t>13</w:t>
            </w:r>
          </w:p>
        </w:tc>
        <w:tc>
          <w:tcPr>
            <w:tcW w:w="0" w:type="auto"/>
            <w:tcBorders>
              <w:tl2br w:val="nil"/>
              <w:tr2bl w:val="nil"/>
            </w:tcBorders>
            <w:vAlign w:val="center"/>
          </w:tcPr>
          <w:p w14:paraId="5DCCC169">
            <w:pPr>
              <w:spacing w:line="240" w:lineRule="auto"/>
              <w:ind w:firstLine="0" w:firstLineChars="0"/>
              <w:jc w:val="center"/>
              <w:rPr>
                <w:rFonts w:ascii="宋体" w:hAnsi="宋体" w:cs="宋体"/>
                <w:sz w:val="21"/>
                <w:szCs w:val="21"/>
              </w:rPr>
            </w:pPr>
            <w:r>
              <w:rPr>
                <w:rFonts w:hint="eastAsia" w:ascii="宋体" w:hAnsi="宋体" w:cs="宋体"/>
                <w:sz w:val="21"/>
                <w:szCs w:val="21"/>
              </w:rPr>
              <w:t>气象部门</w:t>
            </w:r>
          </w:p>
        </w:tc>
        <w:tc>
          <w:tcPr>
            <w:tcW w:w="0" w:type="auto"/>
            <w:tcBorders>
              <w:tl2br w:val="nil"/>
              <w:tr2bl w:val="nil"/>
            </w:tcBorders>
            <w:vAlign w:val="center"/>
          </w:tcPr>
          <w:p w14:paraId="7D2A2093">
            <w:pPr>
              <w:spacing w:line="240" w:lineRule="auto"/>
              <w:ind w:firstLine="0" w:firstLineChars="0"/>
              <w:jc w:val="center"/>
              <w:rPr>
                <w:rFonts w:ascii="宋体" w:hAnsi="宋体" w:cs="宋体"/>
                <w:sz w:val="21"/>
                <w:szCs w:val="21"/>
              </w:rPr>
            </w:pPr>
            <w:r>
              <w:rPr>
                <w:rFonts w:hint="eastAsia" w:ascii="宋体" w:hAnsi="宋体" w:cs="宋体"/>
                <w:sz w:val="21"/>
                <w:szCs w:val="21"/>
              </w:rPr>
              <w:t>及时通报和发布暴雨、洪水等气象信息；负责及时做好突发污染事故现场抢救气象信息提供、发布等工作，负责事故状态下饮用水水源地内气象等信息共享。</w:t>
            </w:r>
          </w:p>
        </w:tc>
      </w:tr>
      <w:tr w14:paraId="00F5B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0" w:type="auto"/>
            <w:tcBorders>
              <w:tl2br w:val="nil"/>
              <w:tr2bl w:val="nil"/>
            </w:tcBorders>
            <w:vAlign w:val="center"/>
          </w:tcPr>
          <w:p w14:paraId="47519ABC">
            <w:pPr>
              <w:spacing w:line="240" w:lineRule="auto"/>
              <w:ind w:firstLine="0" w:firstLineChars="0"/>
              <w:jc w:val="center"/>
              <w:rPr>
                <w:rFonts w:ascii="宋体" w:hAnsi="宋体" w:cs="宋体"/>
                <w:sz w:val="21"/>
                <w:szCs w:val="21"/>
              </w:rPr>
            </w:pPr>
            <w:r>
              <w:rPr>
                <w:rFonts w:hint="eastAsia" w:ascii="宋体" w:hAnsi="宋体" w:cs="宋体"/>
                <w:sz w:val="21"/>
                <w:szCs w:val="21"/>
              </w:rPr>
              <w:t>14</w:t>
            </w:r>
          </w:p>
        </w:tc>
        <w:tc>
          <w:tcPr>
            <w:tcW w:w="0" w:type="auto"/>
            <w:tcBorders>
              <w:tl2br w:val="nil"/>
              <w:tr2bl w:val="nil"/>
            </w:tcBorders>
            <w:vAlign w:val="center"/>
          </w:tcPr>
          <w:p w14:paraId="76FA5BE8">
            <w:pPr>
              <w:spacing w:line="240" w:lineRule="auto"/>
              <w:ind w:firstLine="0" w:firstLineChars="0"/>
              <w:jc w:val="center"/>
              <w:rPr>
                <w:rFonts w:ascii="宋体" w:hAnsi="宋体" w:cs="宋体"/>
                <w:sz w:val="21"/>
                <w:szCs w:val="21"/>
              </w:rPr>
            </w:pPr>
            <w:r>
              <w:rPr>
                <w:rFonts w:hint="eastAsia" w:ascii="宋体" w:hAnsi="宋体" w:cs="宋体"/>
                <w:sz w:val="21"/>
                <w:szCs w:val="21"/>
              </w:rPr>
              <w:t>董家峪水厂</w:t>
            </w:r>
          </w:p>
        </w:tc>
        <w:tc>
          <w:tcPr>
            <w:tcW w:w="0" w:type="auto"/>
            <w:tcBorders>
              <w:tl2br w:val="nil"/>
              <w:tr2bl w:val="nil"/>
            </w:tcBorders>
            <w:vAlign w:val="center"/>
          </w:tcPr>
          <w:p w14:paraId="5072DE7A">
            <w:pPr>
              <w:spacing w:line="240" w:lineRule="auto"/>
              <w:ind w:firstLine="0" w:firstLineChars="0"/>
              <w:jc w:val="center"/>
              <w:rPr>
                <w:rFonts w:hint="eastAsia" w:ascii="宋体" w:hAnsi="宋体" w:eastAsia="宋体" w:cs="宋体"/>
                <w:sz w:val="21"/>
                <w:szCs w:val="21"/>
                <w:lang w:eastAsia="zh-CN"/>
              </w:rPr>
            </w:pPr>
            <w:r>
              <w:rPr>
                <w:rFonts w:hint="eastAsia" w:ascii="宋体" w:hAnsi="宋体" w:cs="宋体"/>
                <w:sz w:val="21"/>
                <w:szCs w:val="21"/>
              </w:rPr>
              <w:t>负责水厂日常管理工作，对水厂水质异常现象进行调查、处理，及时上报及通报水厂水质异常信息。负责应急响应过程中的水厂应对工作，执行水厂</w:t>
            </w:r>
            <w:r>
              <w:rPr>
                <w:rFonts w:hint="eastAsia" w:ascii="宋体" w:hAnsi="宋体" w:cs="宋体"/>
                <w:sz w:val="21"/>
                <w:szCs w:val="21"/>
                <w:lang w:val="en-US" w:eastAsia="zh-CN"/>
              </w:rPr>
              <w:t>增加处理工艺</w:t>
            </w:r>
            <w:r>
              <w:rPr>
                <w:rFonts w:hint="eastAsia" w:ascii="宋体" w:hAnsi="宋体" w:cs="宋体"/>
                <w:sz w:val="21"/>
                <w:szCs w:val="21"/>
              </w:rPr>
              <w:t>、切换备用水源等应急工作安排。进行水厂水应急监测。负责调度和保障涉及饮用水水源地突发环境事件发生地的群众饮用水供应工作，制定水体污染后应急处置措施，保障人民饮用水的安全</w:t>
            </w:r>
            <w:r>
              <w:rPr>
                <w:rFonts w:hint="eastAsia" w:ascii="宋体" w:hAnsi="宋体" w:cs="宋体"/>
                <w:sz w:val="21"/>
                <w:szCs w:val="21"/>
                <w:lang w:eastAsia="zh-CN"/>
              </w:rPr>
              <w:t>；</w:t>
            </w:r>
            <w:r>
              <w:rPr>
                <w:rFonts w:hint="eastAsia" w:ascii="宋体" w:hAnsi="宋体" w:cs="宋体"/>
                <w:sz w:val="21"/>
                <w:szCs w:val="21"/>
              </w:rPr>
              <w:t>负责饮用水水源地突发环境事件的先期处置，并在应急指挥部的统一领导下，协助相关部门做好事故现场处置工作；协助调集应急物资，负责协调解决事故应急处置所需当地的人员、设备、车辆、物资等。</w:t>
            </w:r>
          </w:p>
        </w:tc>
      </w:tr>
    </w:tbl>
    <w:p w14:paraId="5869628A">
      <w:bookmarkStart w:id="62" w:name="_Toc27907"/>
      <w:bookmarkStart w:id="63" w:name="_Toc15651"/>
      <w:bookmarkStart w:id="64" w:name="_Toc13648"/>
      <w:r>
        <w:br w:type="page"/>
      </w:r>
    </w:p>
    <w:p w14:paraId="1299F4A3">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65" w:name="_Toc29346"/>
      <w:bookmarkStart w:id="66" w:name="_Toc12457"/>
      <w:bookmarkStart w:id="67" w:name="_Toc2868"/>
      <w:bookmarkStart w:id="68" w:name="_Toc25363"/>
      <w:r>
        <w:rPr>
          <w:rFonts w:ascii="Times New Roman" w:hAnsi="Times New Roman" w:eastAsia="宋体" w:cs="Times New Roman"/>
          <w:b/>
          <w:bCs/>
          <w:kern w:val="2"/>
          <w:sz w:val="30"/>
          <w:szCs w:val="32"/>
          <w:lang w:val="en-US" w:eastAsia="zh-CN" w:bidi="ar-SA"/>
        </w:rPr>
        <w:t>2.1应急指挥机构</w:t>
      </w:r>
      <w:bookmarkEnd w:id="62"/>
      <w:bookmarkEnd w:id="63"/>
      <w:bookmarkEnd w:id="64"/>
      <w:bookmarkEnd w:id="65"/>
      <w:bookmarkEnd w:id="66"/>
      <w:bookmarkEnd w:id="67"/>
      <w:bookmarkEnd w:id="68"/>
    </w:p>
    <w:p w14:paraId="0E9A1457">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69" w:name="_Toc519064138"/>
      <w:bookmarkStart w:id="70" w:name="_Toc519066672"/>
      <w:bookmarkStart w:id="71" w:name="_Toc518915824"/>
      <w:r>
        <w:rPr>
          <w:rFonts w:ascii="Cambria" w:hAnsi="Cambria" w:eastAsia="宋体" w:cs="Times New Roman"/>
          <w:b/>
          <w:bCs/>
          <w:kern w:val="2"/>
          <w:sz w:val="28"/>
          <w:szCs w:val="28"/>
          <w:lang w:val="en-US" w:eastAsia="zh-CN" w:bidi="ar-SA"/>
        </w:rPr>
        <w:t>2.1.1应急总指挥</w:t>
      </w:r>
      <w:bookmarkEnd w:id="69"/>
      <w:bookmarkEnd w:id="70"/>
      <w:bookmarkEnd w:id="71"/>
    </w:p>
    <w:p w14:paraId="30596BB6">
      <w:r>
        <w:t>应急总指挥为应对武陵源区董家峪水库饮用水水源地突发环境事件的总指挥，由武陵源区</w:t>
      </w:r>
      <w:r>
        <w:rPr>
          <w:rFonts w:hint="eastAsia"/>
        </w:rPr>
        <w:t>副区长</w:t>
      </w:r>
      <w:r>
        <w:t>兼任。</w:t>
      </w:r>
    </w:p>
    <w:p w14:paraId="47CF6322">
      <w:r>
        <w:t>其日常职责为：</w:t>
      </w:r>
    </w:p>
    <w:p w14:paraId="5E271CAE">
      <w:r>
        <w:t>（1）贯彻执行国家、当地人民政府及有关部门关于水源地突发环境事件的各项要求；</w:t>
      </w:r>
    </w:p>
    <w:p w14:paraId="257051FC">
      <w:r>
        <w:t>（2）组织编制、修订和批准水源地应急预案；</w:t>
      </w:r>
    </w:p>
    <w:p w14:paraId="31CFFFE2">
      <w:r>
        <w:t>（3）指导加强水源地突发环境事件应急管理体系建设；</w:t>
      </w:r>
    </w:p>
    <w:p w14:paraId="78328947">
      <w:r>
        <w:t>（4）协调保障水源地突发环境事件应急管理工作经费。</w:t>
      </w:r>
    </w:p>
    <w:p w14:paraId="33104F71">
      <w:r>
        <w:t>应急职责为：</w:t>
      </w:r>
    </w:p>
    <w:p w14:paraId="42EE9FFD">
      <w:r>
        <w:t>（1）发生水源地突发环境事件时，亲自（或委托副总指挥）赶赴现场进行指挥，组织开展现场应急处置；</w:t>
      </w:r>
    </w:p>
    <w:p w14:paraId="4798447B">
      <w:r>
        <w:t>（2）贯彻执行当地或上级人民政府有关部门的应急指令；</w:t>
      </w:r>
    </w:p>
    <w:p w14:paraId="3F29E2F4">
      <w:r>
        <w:t>（3）按照预警、应急启动或终止条件，决定预案的启动或终止；</w:t>
      </w:r>
    </w:p>
    <w:p w14:paraId="5FC140CA">
      <w:r>
        <w:t>（4）研判突发环境事件发展态势，组织制定并批准现场处置方案；</w:t>
      </w:r>
    </w:p>
    <w:p w14:paraId="4836A255">
      <w:r>
        <w:t>（5）组织开展损害评估等后期工作。</w:t>
      </w:r>
    </w:p>
    <w:p w14:paraId="76B45E9E">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72" w:name="_Toc519066673"/>
      <w:bookmarkStart w:id="73" w:name="_Toc518915825"/>
      <w:bookmarkStart w:id="74" w:name="_Toc519064139"/>
      <w:r>
        <w:rPr>
          <w:rFonts w:ascii="Cambria" w:hAnsi="Cambria" w:eastAsia="宋体" w:cs="Times New Roman"/>
          <w:b/>
          <w:bCs/>
          <w:kern w:val="2"/>
          <w:sz w:val="28"/>
          <w:szCs w:val="28"/>
          <w:lang w:val="en-US" w:eastAsia="zh-CN" w:bidi="ar-SA"/>
        </w:rPr>
        <w:t>2.1.2应急副总指挥</w:t>
      </w:r>
      <w:bookmarkEnd w:id="72"/>
      <w:bookmarkEnd w:id="73"/>
      <w:bookmarkEnd w:id="74"/>
    </w:p>
    <w:p w14:paraId="1268A569">
      <w:r>
        <w:t>应急副指挥为应对武陵源区</w:t>
      </w:r>
      <w:r>
        <w:rPr>
          <w:rFonts w:hint="eastAsia"/>
        </w:rPr>
        <w:t>董家峪</w:t>
      </w:r>
      <w:r>
        <w:t>水库饮用水水源地突发环境事件的副指挥，由区应急管理局局长与</w:t>
      </w:r>
      <w:r>
        <w:rPr>
          <w:rFonts w:hint="eastAsia"/>
          <w:lang w:eastAsia="zh-CN"/>
        </w:rPr>
        <w:t>市生态环境局武陵源分局</w:t>
      </w:r>
      <w:r>
        <w:t>局长同时担任。</w:t>
      </w:r>
    </w:p>
    <w:p w14:paraId="749A18DF">
      <w:r>
        <w:t>其日常职责为：</w:t>
      </w:r>
    </w:p>
    <w:p w14:paraId="35A4E6FF">
      <w:pPr>
        <w:outlineLvl w:val="4"/>
      </w:pPr>
      <w:r>
        <w:t>（1）协助总指挥开展有关工作；</w:t>
      </w:r>
    </w:p>
    <w:p w14:paraId="6A97D196">
      <w:r>
        <w:t>（2）组织指导预案培训和演练、应急救援队伍建设和能力评估等工作；</w:t>
      </w:r>
    </w:p>
    <w:p w14:paraId="075B806F">
      <w:pPr>
        <w:outlineLvl w:val="4"/>
      </w:pPr>
      <w:r>
        <w:t>（3）指导开展水源地突发环境事件风险防范和应急准备工作。</w:t>
      </w:r>
    </w:p>
    <w:p w14:paraId="155123F2">
      <w:r>
        <w:t>应急职责为：</w:t>
      </w:r>
    </w:p>
    <w:p w14:paraId="4AF87F31">
      <w:r>
        <w:t>（1）协助总指挥组织开展现场应急处置；</w:t>
      </w:r>
    </w:p>
    <w:p w14:paraId="3A8EC092">
      <w:r>
        <w:t>（2）根据分工或总指挥安排，负责现场的具体指挥协调；</w:t>
      </w:r>
    </w:p>
    <w:p w14:paraId="4C391BC7">
      <w:r>
        <w:t>（3）负责提出有关应急处置建议；</w:t>
      </w:r>
    </w:p>
    <w:p w14:paraId="6027B129">
      <w:r>
        <w:t>（4）负责向场外人员通报有关应急信息；</w:t>
      </w:r>
    </w:p>
    <w:p w14:paraId="3A484F92">
      <w:r>
        <w:t>（5）负责协调现场与场外应急处置工作；</w:t>
      </w:r>
    </w:p>
    <w:p w14:paraId="243E2051">
      <w:r>
        <w:t>（6）</w:t>
      </w:r>
      <w:r>
        <w:rPr>
          <w:rFonts w:hint="eastAsia" w:ascii="Times New Roman" w:eastAsia="宋体"/>
          <w:lang w:val="en-US" w:eastAsia="zh-CN"/>
        </w:rPr>
        <w:t>必要情况下</w:t>
      </w:r>
      <w:r>
        <w:t>停止取水后，负责协调保障居民用水；</w:t>
      </w:r>
    </w:p>
    <w:p w14:paraId="360263BE">
      <w:r>
        <w:t>（7）协调处置现场出现的紧急情况。</w:t>
      </w:r>
    </w:p>
    <w:p w14:paraId="479D34C1">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75" w:name="_Toc518915826"/>
      <w:bookmarkStart w:id="76" w:name="_Toc519064140"/>
      <w:bookmarkStart w:id="77" w:name="_Toc519066674"/>
      <w:r>
        <w:rPr>
          <w:rFonts w:ascii="Cambria" w:hAnsi="Cambria" w:eastAsia="宋体" w:cs="Times New Roman"/>
          <w:b/>
          <w:bCs/>
          <w:kern w:val="2"/>
          <w:sz w:val="28"/>
          <w:szCs w:val="28"/>
          <w:lang w:val="en-US" w:eastAsia="zh-CN" w:bidi="ar-SA"/>
        </w:rPr>
        <w:t>2.1.3协调办公室</w:t>
      </w:r>
      <w:bookmarkEnd w:id="75"/>
      <w:bookmarkEnd w:id="76"/>
      <w:bookmarkEnd w:id="77"/>
    </w:p>
    <w:p w14:paraId="28C94B71">
      <w:r>
        <w:t>协调办公室为负责现场应急上传下达的机构，由</w:t>
      </w:r>
      <w:r>
        <w:rPr>
          <w:rFonts w:hint="eastAsia"/>
          <w:lang w:eastAsia="zh-CN"/>
        </w:rPr>
        <w:t>张家界市生态环境局武陵源分局</w:t>
      </w:r>
      <w:r>
        <w:rPr>
          <w:rFonts w:hint="eastAsia"/>
          <w:lang w:val="en-US" w:eastAsia="zh-CN"/>
        </w:rPr>
        <w:t>副局长</w:t>
      </w:r>
      <w:r>
        <w:t>、区应急管理局</w:t>
      </w:r>
      <w:r>
        <w:rPr>
          <w:rFonts w:hint="eastAsia"/>
          <w:lang w:val="en-US" w:eastAsia="zh-CN"/>
        </w:rPr>
        <w:t>副局长</w:t>
      </w:r>
      <w:r>
        <w:t>、</w:t>
      </w:r>
      <w:r>
        <w:rPr>
          <w:rFonts w:hint="eastAsia"/>
          <w:lang w:eastAsia="zh-CN"/>
        </w:rPr>
        <w:t>区农业农村水利局</w:t>
      </w:r>
      <w:r>
        <w:rPr>
          <w:rFonts w:hint="eastAsia"/>
          <w:lang w:val="en-US" w:eastAsia="zh-CN"/>
        </w:rPr>
        <w:t>副局长</w:t>
      </w:r>
      <w:r>
        <w:t>组成。</w:t>
      </w:r>
    </w:p>
    <w:p w14:paraId="61E1421B">
      <w:r>
        <w:t>其日常职责为：</w:t>
      </w:r>
    </w:p>
    <w:p w14:paraId="4728D473">
      <w:pPr>
        <w:outlineLvl w:val="4"/>
      </w:pPr>
      <w:r>
        <w:t>（1）组织应急预案制定、修订水源地应急预案；</w:t>
      </w:r>
    </w:p>
    <w:p w14:paraId="1E0C8162">
      <w:r>
        <w:t>（2）负责水源地应急预案的日常管理，开展预案培训和演练、应急救援队伍建设和能力评估等工作；</w:t>
      </w:r>
    </w:p>
    <w:p w14:paraId="28DC8995">
      <w:pPr>
        <w:outlineLvl w:val="4"/>
      </w:pPr>
      <w:r>
        <w:t>（3）组织开展水源地突发环境事件风险防范和应急准备工作。</w:t>
      </w:r>
    </w:p>
    <w:p w14:paraId="35690AFD">
      <w:r>
        <w:t>应急职责为：</w:t>
      </w:r>
    </w:p>
    <w:p w14:paraId="5BFB9568">
      <w:pPr>
        <w:outlineLvl w:val="4"/>
      </w:pPr>
      <w:r>
        <w:t>（1）贯彻执行总指挥、副总指挥的各项指令和要求；</w:t>
      </w:r>
    </w:p>
    <w:p w14:paraId="18939BC0">
      <w:r>
        <w:t>（2）负责信息汇总上报，并与有关的外部应急部门、组织和机构进行联络；</w:t>
      </w:r>
    </w:p>
    <w:p w14:paraId="02C1B1DB">
      <w:r>
        <w:t>（3）负责调动应急人员、调配应急资源和联络外部应急组织或机构；</w:t>
      </w:r>
    </w:p>
    <w:p w14:paraId="38919B02">
      <w:pPr>
        <w:outlineLvl w:val="4"/>
      </w:pPr>
      <w:r>
        <w:t>（4）收集整理有关事件数据。</w:t>
      </w:r>
    </w:p>
    <w:p w14:paraId="64C86A5A">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2.1.</w:t>
      </w:r>
      <w:r>
        <w:rPr>
          <w:rFonts w:hint="eastAsia" w:ascii="Cambria" w:hAnsi="Cambria" w:eastAsia="宋体" w:cs="Times New Roman"/>
          <w:b/>
          <w:bCs/>
          <w:kern w:val="2"/>
          <w:sz w:val="28"/>
          <w:szCs w:val="28"/>
          <w:lang w:val="en-US" w:eastAsia="zh-CN" w:bidi="ar-SA"/>
        </w:rPr>
        <w:t>4专项工作组</w:t>
      </w:r>
    </w:p>
    <w:p w14:paraId="7F1234C6">
      <w:r>
        <w:rPr>
          <w:rFonts w:hint="eastAsia"/>
        </w:rPr>
        <w:t>专项工作组负责完成协调办公室下达的相关专项任务。其成员由各个部门相关负责人组成。</w:t>
      </w:r>
    </w:p>
    <w:p w14:paraId="0B928E63">
      <w:pPr>
        <w:spacing w:line="240" w:lineRule="auto"/>
        <w:ind w:firstLine="0" w:firstLineChars="0"/>
        <w:jc w:val="center"/>
        <w:rPr>
          <w:rFonts w:hint="eastAsia"/>
          <w:sz w:val="24"/>
          <w:szCs w:val="24"/>
        </w:rPr>
      </w:pPr>
      <w:r>
        <w:rPr>
          <w:rFonts w:hint="eastAsia"/>
          <w:sz w:val="24"/>
          <w:szCs w:val="24"/>
        </w:rPr>
        <w:t>表2.1-2专项工作组职责表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436"/>
        <w:gridCol w:w="1569"/>
        <w:gridCol w:w="2118"/>
        <w:gridCol w:w="2056"/>
      </w:tblGrid>
      <w:tr w14:paraId="7FAC1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l2br w:val="nil"/>
              <w:tr2bl w:val="nil"/>
            </w:tcBorders>
            <w:noWrap w:val="0"/>
            <w:vAlign w:val="center"/>
          </w:tcPr>
          <w:p w14:paraId="5F912F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来源部门</w:t>
            </w:r>
          </w:p>
        </w:tc>
        <w:tc>
          <w:tcPr>
            <w:tcW w:w="1436" w:type="dxa"/>
            <w:tcBorders>
              <w:tl2br w:val="nil"/>
              <w:tr2bl w:val="nil"/>
            </w:tcBorders>
            <w:noWrap w:val="0"/>
            <w:vAlign w:val="center"/>
          </w:tcPr>
          <w:p w14:paraId="653BA3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负责人姓名以及职务</w:t>
            </w:r>
          </w:p>
        </w:tc>
        <w:tc>
          <w:tcPr>
            <w:tcW w:w="1569" w:type="dxa"/>
            <w:tcBorders>
              <w:tl2br w:val="nil"/>
              <w:tr2bl w:val="nil"/>
            </w:tcBorders>
            <w:noWrap w:val="0"/>
            <w:vAlign w:val="center"/>
          </w:tcPr>
          <w:p w14:paraId="3FB896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电话</w:t>
            </w:r>
          </w:p>
        </w:tc>
        <w:tc>
          <w:tcPr>
            <w:tcW w:w="2118" w:type="dxa"/>
            <w:tcBorders>
              <w:tl2br w:val="nil"/>
              <w:tr2bl w:val="nil"/>
            </w:tcBorders>
            <w:noWrap w:val="0"/>
            <w:vAlign w:val="center"/>
          </w:tcPr>
          <w:p w14:paraId="462E1C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日常职责</w:t>
            </w:r>
          </w:p>
        </w:tc>
        <w:tc>
          <w:tcPr>
            <w:tcW w:w="2056" w:type="dxa"/>
            <w:tcBorders>
              <w:tl2br w:val="nil"/>
              <w:tr2bl w:val="nil"/>
            </w:tcBorders>
            <w:noWrap w:val="0"/>
            <w:vAlign w:val="center"/>
          </w:tcPr>
          <w:p w14:paraId="6F77B1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应急职责</w:t>
            </w:r>
          </w:p>
        </w:tc>
      </w:tr>
      <w:tr w14:paraId="683F7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l2br w:val="nil"/>
              <w:tr2bl w:val="nil"/>
            </w:tcBorders>
            <w:noWrap w:val="0"/>
            <w:vAlign w:val="center"/>
          </w:tcPr>
          <w:p w14:paraId="041182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区财政局</w:t>
            </w:r>
          </w:p>
        </w:tc>
        <w:tc>
          <w:tcPr>
            <w:tcW w:w="1436" w:type="dxa"/>
            <w:tcBorders>
              <w:tl2br w:val="nil"/>
              <w:tr2bl w:val="nil"/>
            </w:tcBorders>
            <w:noWrap w:val="0"/>
            <w:vAlign w:val="center"/>
          </w:tcPr>
          <w:p w14:paraId="48171B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邓学飞，副局长</w:t>
            </w:r>
          </w:p>
        </w:tc>
        <w:tc>
          <w:tcPr>
            <w:tcW w:w="1569" w:type="dxa"/>
            <w:tcBorders>
              <w:tl2br w:val="nil"/>
              <w:tr2bl w:val="nil"/>
            </w:tcBorders>
            <w:noWrap w:val="0"/>
            <w:vAlign w:val="center"/>
          </w:tcPr>
          <w:p w14:paraId="08DE2A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19974439075</w:t>
            </w:r>
          </w:p>
        </w:tc>
        <w:tc>
          <w:tcPr>
            <w:tcW w:w="2118" w:type="dxa"/>
            <w:tcBorders>
              <w:tl2br w:val="nil"/>
              <w:tr2bl w:val="nil"/>
            </w:tcBorders>
            <w:noWrap w:val="0"/>
            <w:vAlign w:val="center"/>
          </w:tcPr>
          <w:p w14:paraId="5C0EF2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负责保障水源地突发环境事件应急管理工作经费</w:t>
            </w:r>
          </w:p>
        </w:tc>
        <w:tc>
          <w:tcPr>
            <w:tcW w:w="2056" w:type="dxa"/>
            <w:tcBorders>
              <w:tl2br w:val="nil"/>
              <w:tr2bl w:val="nil"/>
            </w:tcBorders>
            <w:noWrap w:val="0"/>
            <w:vAlign w:val="center"/>
          </w:tcPr>
          <w:p w14:paraId="3C9525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负责保障水源地突发环境事件应急处置期间的费用</w:t>
            </w:r>
          </w:p>
        </w:tc>
      </w:tr>
      <w:tr w14:paraId="40F41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l2br w:val="nil"/>
              <w:tr2bl w:val="nil"/>
            </w:tcBorders>
            <w:noWrap w:val="0"/>
            <w:vAlign w:val="center"/>
          </w:tcPr>
          <w:p w14:paraId="3F7454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区自然资源和林业局</w:t>
            </w:r>
          </w:p>
        </w:tc>
        <w:tc>
          <w:tcPr>
            <w:tcW w:w="1436" w:type="dxa"/>
            <w:tcBorders>
              <w:tl2br w:val="nil"/>
              <w:tr2bl w:val="nil"/>
            </w:tcBorders>
            <w:noWrap w:val="0"/>
            <w:vAlign w:val="center"/>
          </w:tcPr>
          <w:p w14:paraId="32562E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胡绍华</w:t>
            </w:r>
            <w:r>
              <w:rPr>
                <w:rFonts w:hint="eastAsia" w:ascii="宋体" w:hAnsi="宋体" w:eastAsia="宋体" w:cs="宋体"/>
                <w:sz w:val="21"/>
                <w:szCs w:val="21"/>
                <w:lang w:val="en-US" w:eastAsia="zh-CN"/>
              </w:rPr>
              <w:t>，副局长</w:t>
            </w:r>
          </w:p>
        </w:tc>
        <w:tc>
          <w:tcPr>
            <w:tcW w:w="1569" w:type="dxa"/>
            <w:tcBorders>
              <w:tl2br w:val="nil"/>
              <w:tr2bl w:val="nil"/>
            </w:tcBorders>
            <w:noWrap w:val="0"/>
            <w:vAlign w:val="center"/>
          </w:tcPr>
          <w:p w14:paraId="156214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13974445970</w:t>
            </w:r>
          </w:p>
        </w:tc>
        <w:tc>
          <w:tcPr>
            <w:tcW w:w="2118" w:type="dxa"/>
            <w:tcBorders>
              <w:tl2br w:val="nil"/>
              <w:tr2bl w:val="nil"/>
            </w:tcBorders>
            <w:noWrap w:val="0"/>
            <w:vAlign w:val="center"/>
          </w:tcPr>
          <w:p w14:paraId="58F5F0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规划、建设和管理适用于水源地突发环境事件应急处置的场地</w:t>
            </w:r>
          </w:p>
        </w:tc>
        <w:tc>
          <w:tcPr>
            <w:tcW w:w="2056" w:type="dxa"/>
            <w:tcBorders>
              <w:tl2br w:val="nil"/>
              <w:tr2bl w:val="nil"/>
            </w:tcBorders>
            <w:noWrap w:val="0"/>
            <w:vAlign w:val="center"/>
          </w:tcPr>
          <w:p w14:paraId="1EF192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负责保障水源地突发环境事件应急处置的场地</w:t>
            </w:r>
          </w:p>
        </w:tc>
      </w:tr>
      <w:tr w14:paraId="18A1C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l2br w:val="nil"/>
              <w:tr2bl w:val="nil"/>
            </w:tcBorders>
            <w:noWrap w:val="0"/>
            <w:vAlign w:val="center"/>
          </w:tcPr>
          <w:p w14:paraId="7DC7C3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张家界市生态环境局武陵源分局</w:t>
            </w:r>
          </w:p>
        </w:tc>
        <w:tc>
          <w:tcPr>
            <w:tcW w:w="1436" w:type="dxa"/>
            <w:tcBorders>
              <w:tl2br w:val="nil"/>
              <w:tr2bl w:val="nil"/>
            </w:tcBorders>
            <w:noWrap w:val="0"/>
            <w:vAlign w:val="center"/>
          </w:tcPr>
          <w:p w14:paraId="3DE354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吴斌</w:t>
            </w:r>
            <w:r>
              <w:rPr>
                <w:rFonts w:hint="eastAsia" w:cs="Times New Roman"/>
                <w:sz w:val="21"/>
                <w:szCs w:val="21"/>
                <w:lang w:val="en-US" w:eastAsia="zh-CN"/>
              </w:rPr>
              <w:t>，副局长</w:t>
            </w:r>
          </w:p>
        </w:tc>
        <w:tc>
          <w:tcPr>
            <w:tcW w:w="1569" w:type="dxa"/>
            <w:tcBorders>
              <w:tl2br w:val="nil"/>
              <w:tr2bl w:val="nil"/>
            </w:tcBorders>
            <w:noWrap w:val="0"/>
            <w:vAlign w:val="center"/>
          </w:tcPr>
          <w:p w14:paraId="0278B8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18974490369</w:t>
            </w:r>
          </w:p>
        </w:tc>
        <w:tc>
          <w:tcPr>
            <w:tcW w:w="2118" w:type="dxa"/>
            <w:tcBorders>
              <w:tl2br w:val="nil"/>
              <w:tr2bl w:val="nil"/>
            </w:tcBorders>
            <w:noWrap w:val="0"/>
            <w:vAlign w:val="center"/>
          </w:tcPr>
          <w:p w14:paraId="39A7A0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负责水源地日常监测，及时上报并通报水源地水质异常信息。开展水源地污染防治的日常监督和管理</w:t>
            </w:r>
          </w:p>
        </w:tc>
        <w:tc>
          <w:tcPr>
            <w:tcW w:w="2056" w:type="dxa"/>
            <w:tcBorders>
              <w:tl2br w:val="nil"/>
              <w:tr2bl w:val="nil"/>
            </w:tcBorders>
            <w:noWrap w:val="0"/>
            <w:vAlign w:val="center"/>
          </w:tcPr>
          <w:p w14:paraId="23695A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负责应急监测，督促、指导有关部门和单位开展水源地污染物削减处置等工作</w:t>
            </w:r>
          </w:p>
        </w:tc>
      </w:tr>
      <w:tr w14:paraId="72931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l2br w:val="nil"/>
              <w:tr2bl w:val="nil"/>
            </w:tcBorders>
            <w:noWrap w:val="0"/>
            <w:vAlign w:val="center"/>
          </w:tcPr>
          <w:p w14:paraId="623CE0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区农业农村水利局</w:t>
            </w:r>
          </w:p>
        </w:tc>
        <w:tc>
          <w:tcPr>
            <w:tcW w:w="1436" w:type="dxa"/>
            <w:tcBorders>
              <w:tl2br w:val="nil"/>
              <w:tr2bl w:val="nil"/>
            </w:tcBorders>
            <w:noWrap w:val="0"/>
            <w:vAlign w:val="center"/>
          </w:tcPr>
          <w:p w14:paraId="45C754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邓远</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副局长</w:t>
            </w:r>
          </w:p>
        </w:tc>
        <w:tc>
          <w:tcPr>
            <w:tcW w:w="1569" w:type="dxa"/>
            <w:tcBorders>
              <w:tl2br w:val="nil"/>
              <w:tr2bl w:val="nil"/>
            </w:tcBorders>
            <w:noWrap w:val="0"/>
            <w:vAlign w:val="center"/>
          </w:tcPr>
          <w:p w14:paraId="69DB5B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13637441258</w:t>
            </w:r>
          </w:p>
        </w:tc>
        <w:tc>
          <w:tcPr>
            <w:tcW w:w="2118" w:type="dxa"/>
            <w:tcBorders>
              <w:tl2br w:val="nil"/>
              <w:tr2bl w:val="nil"/>
            </w:tcBorders>
            <w:noWrap w:val="0"/>
            <w:vAlign w:val="center"/>
          </w:tcPr>
          <w:p w14:paraId="773E82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负责供水单位日常管理工作</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对供水单位水质异常现象进行调查处理</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及时上报并通报供水单位水质异常信息</w:t>
            </w:r>
          </w:p>
        </w:tc>
        <w:tc>
          <w:tcPr>
            <w:tcW w:w="2056" w:type="dxa"/>
            <w:tcBorders>
              <w:tl2br w:val="nil"/>
              <w:tr2bl w:val="nil"/>
            </w:tcBorders>
            <w:noWrap w:val="0"/>
            <w:vAlign w:val="center"/>
          </w:tcPr>
          <w:p w14:paraId="1F311D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按照应急指挥部要求，利用水利工程进行污染团拦截、降污或调水稀释等工作</w:t>
            </w:r>
          </w:p>
        </w:tc>
      </w:tr>
      <w:tr w14:paraId="7C522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1343" w:type="dxa"/>
            <w:tcBorders>
              <w:tl2br w:val="nil"/>
              <w:tr2bl w:val="nil"/>
            </w:tcBorders>
            <w:noWrap w:val="0"/>
            <w:vAlign w:val="center"/>
          </w:tcPr>
          <w:p w14:paraId="3635B1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区应急管理局</w:t>
            </w:r>
          </w:p>
        </w:tc>
        <w:tc>
          <w:tcPr>
            <w:tcW w:w="1436" w:type="dxa"/>
            <w:tcBorders>
              <w:tl2br w:val="nil"/>
              <w:tr2bl w:val="nil"/>
            </w:tcBorders>
            <w:noWrap w:val="0"/>
            <w:vAlign w:val="center"/>
          </w:tcPr>
          <w:p w14:paraId="79B0C6AE">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向绪军</w:t>
            </w:r>
            <w:r>
              <w:rPr>
                <w:rFonts w:hint="eastAsia" w:cs="Times New Roman"/>
                <w:sz w:val="21"/>
                <w:szCs w:val="21"/>
                <w:lang w:val="en-US" w:eastAsia="zh-CN"/>
              </w:rPr>
              <w:t>，副局长</w:t>
            </w:r>
          </w:p>
        </w:tc>
        <w:tc>
          <w:tcPr>
            <w:tcW w:w="1569" w:type="dxa"/>
            <w:tcBorders>
              <w:tl2br w:val="nil"/>
              <w:tr2bl w:val="nil"/>
            </w:tcBorders>
            <w:noWrap w:val="0"/>
            <w:vAlign w:val="center"/>
          </w:tcPr>
          <w:p w14:paraId="5F5E12D5">
            <w:pPr>
              <w:bidi w:val="0"/>
              <w:spacing w:line="240" w:lineRule="auto"/>
              <w:ind w:left="0" w:leftChars="0" w:firstLine="0" w:firstLineChars="0"/>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13367446511</w:t>
            </w:r>
          </w:p>
        </w:tc>
        <w:tc>
          <w:tcPr>
            <w:tcW w:w="2118" w:type="dxa"/>
            <w:tcBorders>
              <w:tl2br w:val="nil"/>
              <w:tr2bl w:val="nil"/>
            </w:tcBorders>
            <w:noWrap w:val="0"/>
            <w:vAlign w:val="center"/>
          </w:tcPr>
          <w:p w14:paraId="224C02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负责有关应急物资的日常维护管理</w:t>
            </w:r>
          </w:p>
        </w:tc>
        <w:tc>
          <w:tcPr>
            <w:tcW w:w="2056" w:type="dxa"/>
            <w:tcBorders>
              <w:tl2br w:val="nil"/>
              <w:tr2bl w:val="nil"/>
            </w:tcBorders>
            <w:noWrap w:val="0"/>
            <w:vAlign w:val="center"/>
          </w:tcPr>
          <w:p w14:paraId="1F1B35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负责有关应急物资 的使用管理</w:t>
            </w:r>
          </w:p>
        </w:tc>
      </w:tr>
      <w:tr w14:paraId="2EF25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l2br w:val="nil"/>
              <w:tr2bl w:val="nil"/>
            </w:tcBorders>
            <w:noWrap w:val="0"/>
            <w:vAlign w:val="center"/>
          </w:tcPr>
          <w:p w14:paraId="7A2644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区卫生健康局</w:t>
            </w:r>
          </w:p>
        </w:tc>
        <w:tc>
          <w:tcPr>
            <w:tcW w:w="1436" w:type="dxa"/>
            <w:tcBorders>
              <w:tl2br w:val="nil"/>
              <w:tr2bl w:val="nil"/>
            </w:tcBorders>
            <w:noWrap w:val="0"/>
            <w:vAlign w:val="center"/>
          </w:tcPr>
          <w:p w14:paraId="0FD7E0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谭正鹏</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副局长</w:t>
            </w:r>
          </w:p>
        </w:tc>
        <w:tc>
          <w:tcPr>
            <w:tcW w:w="1569" w:type="dxa"/>
            <w:tcBorders>
              <w:tl2br w:val="nil"/>
              <w:tr2bl w:val="nil"/>
            </w:tcBorders>
            <w:noWrap w:val="0"/>
            <w:vAlign w:val="center"/>
          </w:tcPr>
          <w:p w14:paraId="5B2BA2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15074444725</w:t>
            </w:r>
          </w:p>
        </w:tc>
        <w:tc>
          <w:tcPr>
            <w:tcW w:w="2118" w:type="dxa"/>
            <w:tcBorders>
              <w:tl2br w:val="nil"/>
              <w:tr2bl w:val="nil"/>
            </w:tcBorders>
            <w:noWrap w:val="0"/>
            <w:vAlign w:val="center"/>
          </w:tcPr>
          <w:p w14:paraId="3525CE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负责自来水管网末梢水水质卫生日常管理</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及时上报并通报管网末梢水水质</w:t>
            </w:r>
            <w:r>
              <w:rPr>
                <w:rFonts w:hint="eastAsia" w:ascii="宋体" w:hAnsi="宋体" w:eastAsia="宋体" w:cs="宋体"/>
                <w:sz w:val="21"/>
                <w:szCs w:val="21"/>
                <w:lang w:val="en-US" w:eastAsia="zh-CN"/>
              </w:rPr>
              <w:t>异</w:t>
            </w:r>
            <w:r>
              <w:rPr>
                <w:rFonts w:hint="default" w:ascii="宋体" w:hAnsi="宋体" w:eastAsia="宋体" w:cs="宋体"/>
                <w:sz w:val="21"/>
                <w:szCs w:val="21"/>
                <w:lang w:val="en-US" w:eastAsia="zh-CN"/>
              </w:rPr>
              <w:t>常信息</w:t>
            </w:r>
          </w:p>
        </w:tc>
        <w:tc>
          <w:tcPr>
            <w:tcW w:w="2056" w:type="dxa"/>
            <w:tcBorders>
              <w:tl2br w:val="nil"/>
              <w:tr2bl w:val="nil"/>
            </w:tcBorders>
            <w:noWrap w:val="0"/>
            <w:vAlign w:val="center"/>
          </w:tcPr>
          <w:p w14:paraId="53EB19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负责管网末梢水水质应急监测</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确保应急期间居民饮水卫生安全</w:t>
            </w:r>
          </w:p>
        </w:tc>
      </w:tr>
      <w:tr w14:paraId="34AE5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l2br w:val="nil"/>
              <w:tr2bl w:val="nil"/>
            </w:tcBorders>
            <w:noWrap w:val="0"/>
            <w:vAlign w:val="center"/>
          </w:tcPr>
          <w:p w14:paraId="0BC226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区城乡建设和交通运输局</w:t>
            </w:r>
          </w:p>
        </w:tc>
        <w:tc>
          <w:tcPr>
            <w:tcW w:w="1436" w:type="dxa"/>
            <w:tcBorders>
              <w:tl2br w:val="nil"/>
              <w:tr2bl w:val="nil"/>
            </w:tcBorders>
            <w:noWrap w:val="0"/>
            <w:vAlign w:val="center"/>
          </w:tcPr>
          <w:p w14:paraId="70A43A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祝园</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局长</w:t>
            </w:r>
          </w:p>
        </w:tc>
        <w:tc>
          <w:tcPr>
            <w:tcW w:w="1569" w:type="dxa"/>
            <w:tcBorders>
              <w:tl2br w:val="nil"/>
              <w:tr2bl w:val="nil"/>
            </w:tcBorders>
            <w:noWrap w:val="0"/>
            <w:vAlign w:val="center"/>
          </w:tcPr>
          <w:p w14:paraId="1A9882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18074470919</w:t>
            </w:r>
          </w:p>
        </w:tc>
        <w:tc>
          <w:tcPr>
            <w:tcW w:w="2118" w:type="dxa"/>
            <w:tcBorders>
              <w:tl2br w:val="nil"/>
              <w:tr2bl w:val="nil"/>
            </w:tcBorders>
            <w:noWrap w:val="0"/>
            <w:vAlign w:val="center"/>
          </w:tcPr>
          <w:p w14:paraId="0BEF0D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道路的日常应急管理工作，建设维护道路应急工程设施</w:t>
            </w:r>
            <w:r>
              <w:rPr>
                <w:rFonts w:hint="eastAsia" w:ascii="宋体" w:hAnsi="宋体" w:eastAsia="宋体" w:cs="宋体"/>
                <w:sz w:val="21"/>
                <w:szCs w:val="21"/>
                <w:lang w:val="en-US" w:eastAsia="zh-CN"/>
              </w:rPr>
              <w:t>等</w:t>
            </w:r>
          </w:p>
        </w:tc>
        <w:tc>
          <w:tcPr>
            <w:tcW w:w="2056" w:type="dxa"/>
            <w:tcBorders>
              <w:tl2br w:val="nil"/>
              <w:tr2bl w:val="nil"/>
            </w:tcBorders>
            <w:noWrap w:val="0"/>
            <w:vAlign w:val="center"/>
          </w:tcPr>
          <w:p w14:paraId="7FDF3E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负责保障应急物资运输车辆快速通行</w:t>
            </w:r>
            <w:r>
              <w:rPr>
                <w:rFonts w:hint="eastAsia" w:ascii="宋体" w:hAnsi="宋体" w:eastAsia="宋体" w:cs="宋体"/>
                <w:sz w:val="21"/>
                <w:szCs w:val="21"/>
                <w:lang w:val="en-US" w:eastAsia="zh-CN"/>
              </w:rPr>
              <w:t>至水源地保护区</w:t>
            </w:r>
          </w:p>
        </w:tc>
      </w:tr>
    </w:tbl>
    <w:p w14:paraId="205B599E">
      <w:pPr>
        <w:spacing w:line="240" w:lineRule="auto"/>
        <w:ind w:firstLine="0" w:firstLineChars="0"/>
        <w:jc w:val="center"/>
        <w:rPr>
          <w:rFonts w:hint="eastAsia"/>
          <w:sz w:val="24"/>
          <w:szCs w:val="24"/>
        </w:rPr>
      </w:pPr>
    </w:p>
    <w:p w14:paraId="36AD60BF">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78" w:name="_Toc2254"/>
      <w:bookmarkStart w:id="79" w:name="_Toc14997"/>
      <w:bookmarkStart w:id="80" w:name="_Toc17699"/>
      <w:bookmarkStart w:id="81" w:name="_Toc4916"/>
      <w:bookmarkStart w:id="82" w:name="_Toc947"/>
      <w:bookmarkStart w:id="83" w:name="_Toc24305"/>
      <w:bookmarkStart w:id="84" w:name="_Toc11077"/>
      <w:r>
        <w:rPr>
          <w:rFonts w:ascii="Times New Roman" w:hAnsi="Times New Roman" w:eastAsia="宋体" w:cs="Times New Roman"/>
          <w:b/>
          <w:bCs/>
          <w:kern w:val="2"/>
          <w:sz w:val="30"/>
          <w:szCs w:val="32"/>
          <w:lang w:val="en-US" w:eastAsia="zh-CN" w:bidi="ar-SA"/>
        </w:rPr>
        <w:t>2.2现场应急指挥部</w:t>
      </w:r>
      <w:bookmarkEnd w:id="78"/>
      <w:bookmarkEnd w:id="79"/>
      <w:bookmarkEnd w:id="80"/>
      <w:bookmarkEnd w:id="81"/>
      <w:bookmarkEnd w:id="82"/>
      <w:bookmarkEnd w:id="83"/>
      <w:bookmarkEnd w:id="84"/>
    </w:p>
    <w:p w14:paraId="33CE4E4B">
      <w:r>
        <w:t>现场应急指挥部是根据董家峪水库饮用水水源地突发不同情景环境事件，在应急组织指挥机构总指挥领导下，从应急组织机构中选择直接相关部门和单位成立现场应急指挥部，主要负责领导、组织和协调董家峪水库饮用水水源地突发环境事件下现场应急专项工作组的各项应急工作。</w:t>
      </w:r>
    </w:p>
    <w:p w14:paraId="5FAB4EC0">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85" w:name="_Toc3301"/>
      <w:bookmarkStart w:id="86" w:name="_Toc12980"/>
      <w:bookmarkStart w:id="87" w:name="_Toc23425"/>
      <w:bookmarkStart w:id="88" w:name="_Toc22379"/>
      <w:bookmarkStart w:id="89" w:name="_Toc13176"/>
      <w:bookmarkStart w:id="90" w:name="_Toc5416"/>
      <w:bookmarkStart w:id="91" w:name="_Toc26918"/>
      <w:r>
        <w:rPr>
          <w:rFonts w:ascii="Times New Roman" w:hAnsi="Times New Roman" w:eastAsia="宋体" w:cs="Times New Roman"/>
          <w:b/>
          <w:bCs/>
          <w:kern w:val="2"/>
          <w:sz w:val="30"/>
          <w:szCs w:val="32"/>
          <w:lang w:val="en-US" w:eastAsia="zh-CN" w:bidi="ar-SA"/>
        </w:rPr>
        <w:t>2.3现场应急工作组</w:t>
      </w:r>
      <w:bookmarkEnd w:id="85"/>
      <w:bookmarkEnd w:id="86"/>
      <w:bookmarkEnd w:id="87"/>
      <w:bookmarkEnd w:id="88"/>
      <w:bookmarkEnd w:id="89"/>
      <w:bookmarkEnd w:id="90"/>
      <w:bookmarkEnd w:id="91"/>
    </w:p>
    <w:p w14:paraId="54F6A680">
      <w:pPr>
        <w:rPr>
          <w:rFonts w:hint="default" w:eastAsia="宋体"/>
          <w:lang w:val="en-US" w:eastAsia="zh-CN"/>
        </w:rPr>
      </w:pPr>
      <w:r>
        <w:t>现场应急工作组应包括应急处置组、应急监测组、应急供水保障组、应急物资保障组、应急专家组、</w:t>
      </w:r>
      <w:r>
        <w:rPr>
          <w:rFonts w:hint="eastAsia"/>
          <w:lang w:eastAsia="zh-CN"/>
        </w:rPr>
        <w:t>新闻宣传与舆情监测组</w:t>
      </w:r>
      <w:r>
        <w:rPr>
          <w:rFonts w:hint="eastAsia" w:eastAsia="宋体"/>
          <w:lang w:eastAsia="zh-CN"/>
        </w:rPr>
        <w:t>，</w:t>
      </w:r>
      <w:r>
        <w:rPr>
          <w:rFonts w:hint="eastAsia" w:ascii="Times New Roman" w:eastAsia="宋体"/>
          <w:lang w:val="en-US" w:eastAsia="zh-CN"/>
        </w:rPr>
        <w:t>组长负责牵头工作。</w:t>
      </w:r>
    </w:p>
    <w:p w14:paraId="2F385AE1">
      <w:r>
        <w:br w:type="page"/>
      </w:r>
    </w:p>
    <w:p w14:paraId="1A248C20">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t>表2</w:t>
      </w:r>
      <w:r>
        <w:rPr>
          <w:rFonts w:hint="eastAsia"/>
        </w:rPr>
        <w:t>.3</w:t>
      </w:r>
      <w:r>
        <w:t>-</w:t>
      </w:r>
      <w:r>
        <w:rPr>
          <w:rFonts w:hint="eastAsia"/>
        </w:rPr>
        <w:t>1</w:t>
      </w:r>
      <w:r>
        <w:t>应急工作组组成及职责表</w:t>
      </w:r>
    </w:p>
    <w:tbl>
      <w:tblPr>
        <w:tblStyle w:val="18"/>
        <w:tblW w:w="418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91"/>
        <w:gridCol w:w="422"/>
        <w:gridCol w:w="2877"/>
        <w:gridCol w:w="3289"/>
      </w:tblGrid>
      <w:tr w14:paraId="4D27E4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tcBorders>
              <w:tl2br w:val="nil"/>
              <w:tr2bl w:val="nil"/>
            </w:tcBorders>
            <w:vAlign w:val="center"/>
          </w:tcPr>
          <w:p w14:paraId="3E0C6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1"/>
                <w:szCs w:val="21"/>
              </w:rPr>
            </w:pPr>
            <w:r>
              <w:rPr>
                <w:rFonts w:hint="eastAsia" w:ascii="宋体" w:hAnsi="宋体" w:cs="宋体"/>
                <w:b/>
                <w:bCs/>
                <w:sz w:val="21"/>
                <w:szCs w:val="21"/>
              </w:rPr>
              <w:t>应急工作组组成</w:t>
            </w:r>
          </w:p>
        </w:tc>
        <w:tc>
          <w:tcPr>
            <w:tcW w:w="278" w:type="pct"/>
            <w:tcBorders>
              <w:tl2br w:val="nil"/>
              <w:tr2bl w:val="nil"/>
            </w:tcBorders>
            <w:vAlign w:val="center"/>
          </w:tcPr>
          <w:p w14:paraId="0FDA0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组成</w:t>
            </w:r>
          </w:p>
        </w:tc>
        <w:tc>
          <w:tcPr>
            <w:tcW w:w="1898" w:type="pct"/>
            <w:tcBorders>
              <w:tl2br w:val="nil"/>
              <w:tr2bl w:val="nil"/>
            </w:tcBorders>
            <w:vAlign w:val="center"/>
          </w:tcPr>
          <w:p w14:paraId="4F40FE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1"/>
                <w:szCs w:val="21"/>
              </w:rPr>
            </w:pPr>
            <w:r>
              <w:rPr>
                <w:rFonts w:hint="eastAsia" w:ascii="宋体" w:hAnsi="宋体" w:cs="宋体"/>
                <w:b/>
                <w:bCs/>
                <w:sz w:val="21"/>
                <w:szCs w:val="21"/>
                <w:lang w:val="en-US" w:eastAsia="zh-CN"/>
              </w:rPr>
              <w:t>单位</w:t>
            </w:r>
            <w:r>
              <w:rPr>
                <w:rFonts w:hint="eastAsia" w:ascii="宋体" w:hAnsi="宋体" w:cs="宋体"/>
                <w:b/>
                <w:bCs/>
                <w:sz w:val="21"/>
                <w:szCs w:val="21"/>
              </w:rPr>
              <w:t>组成</w:t>
            </w:r>
          </w:p>
        </w:tc>
        <w:tc>
          <w:tcPr>
            <w:tcW w:w="2169" w:type="pct"/>
            <w:tcBorders>
              <w:tl2br w:val="nil"/>
              <w:tr2bl w:val="nil"/>
            </w:tcBorders>
            <w:vAlign w:val="center"/>
          </w:tcPr>
          <w:p w14:paraId="46047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1"/>
                <w:szCs w:val="21"/>
              </w:rPr>
            </w:pPr>
            <w:r>
              <w:rPr>
                <w:rFonts w:hint="eastAsia" w:ascii="宋体" w:hAnsi="宋体" w:cs="宋体"/>
                <w:b/>
                <w:bCs/>
                <w:sz w:val="21"/>
                <w:szCs w:val="21"/>
              </w:rPr>
              <w:t>应急职责</w:t>
            </w:r>
          </w:p>
        </w:tc>
      </w:tr>
      <w:tr w14:paraId="527661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653" w:type="pct"/>
            <w:vMerge w:val="restart"/>
            <w:tcBorders>
              <w:tl2br w:val="nil"/>
              <w:tr2bl w:val="nil"/>
            </w:tcBorders>
            <w:vAlign w:val="center"/>
          </w:tcPr>
          <w:p w14:paraId="50B41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应急处置组</w:t>
            </w:r>
          </w:p>
        </w:tc>
        <w:tc>
          <w:tcPr>
            <w:tcW w:w="278" w:type="pct"/>
            <w:tcBorders>
              <w:tl2br w:val="nil"/>
              <w:tr2bl w:val="nil"/>
            </w:tcBorders>
            <w:vAlign w:val="center"/>
          </w:tcPr>
          <w:p w14:paraId="69B19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组长</w:t>
            </w:r>
          </w:p>
        </w:tc>
        <w:tc>
          <w:tcPr>
            <w:tcW w:w="1898" w:type="pct"/>
            <w:tcBorders>
              <w:tl2br w:val="nil"/>
              <w:tr2bl w:val="nil"/>
            </w:tcBorders>
            <w:vAlign w:val="center"/>
          </w:tcPr>
          <w:p w14:paraId="275A2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区农业农村水利局</w:t>
            </w:r>
          </w:p>
        </w:tc>
        <w:tc>
          <w:tcPr>
            <w:tcW w:w="2169" w:type="pct"/>
            <w:vMerge w:val="restart"/>
            <w:tcBorders>
              <w:tl2br w:val="nil"/>
              <w:tr2bl w:val="nil"/>
            </w:tcBorders>
            <w:vAlign w:val="center"/>
          </w:tcPr>
          <w:p w14:paraId="0D93E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（1）负责组织制定应急处置方案；</w:t>
            </w:r>
          </w:p>
          <w:p w14:paraId="7659B2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（2）负责现场污染物消除、围堵和削减，以及污染物收集、转运和异地处置等工作。</w:t>
            </w:r>
          </w:p>
        </w:tc>
      </w:tr>
      <w:tr w14:paraId="67DF8D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5D1A33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278" w:type="pct"/>
            <w:vMerge w:val="restart"/>
            <w:tcBorders>
              <w:tl2br w:val="nil"/>
              <w:tr2bl w:val="nil"/>
            </w:tcBorders>
            <w:vAlign w:val="center"/>
          </w:tcPr>
          <w:p w14:paraId="3B196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组员</w:t>
            </w:r>
          </w:p>
        </w:tc>
        <w:tc>
          <w:tcPr>
            <w:tcW w:w="1898" w:type="pct"/>
            <w:tcBorders>
              <w:tl2br w:val="nil"/>
              <w:tr2bl w:val="nil"/>
            </w:tcBorders>
            <w:vAlign w:val="center"/>
          </w:tcPr>
          <w:p w14:paraId="7C2FB8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w:t>
            </w:r>
            <w:r>
              <w:rPr>
                <w:rFonts w:hint="eastAsia" w:ascii="宋体" w:hAnsi="宋体" w:cs="宋体"/>
                <w:sz w:val="21"/>
                <w:szCs w:val="21"/>
              </w:rPr>
              <w:t>应急管理局</w:t>
            </w:r>
          </w:p>
        </w:tc>
        <w:tc>
          <w:tcPr>
            <w:tcW w:w="2169" w:type="pct"/>
            <w:vMerge w:val="continue"/>
            <w:tcBorders>
              <w:tl2br w:val="nil"/>
              <w:tr2bl w:val="nil"/>
            </w:tcBorders>
            <w:vAlign w:val="center"/>
          </w:tcPr>
          <w:p w14:paraId="22597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17B7B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02981D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vMerge w:val="continue"/>
            <w:tcBorders>
              <w:tl2br w:val="nil"/>
              <w:tr2bl w:val="nil"/>
            </w:tcBorders>
            <w:vAlign w:val="center"/>
          </w:tcPr>
          <w:p w14:paraId="5C69F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1898" w:type="pct"/>
            <w:tcBorders>
              <w:tl2br w:val="nil"/>
              <w:tr2bl w:val="nil"/>
            </w:tcBorders>
            <w:vAlign w:val="center"/>
          </w:tcPr>
          <w:p w14:paraId="2A07F5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区消防救援大队</w:t>
            </w:r>
          </w:p>
        </w:tc>
        <w:tc>
          <w:tcPr>
            <w:tcW w:w="2169" w:type="pct"/>
            <w:vMerge w:val="continue"/>
            <w:tcBorders>
              <w:tl2br w:val="nil"/>
              <w:tr2bl w:val="nil"/>
            </w:tcBorders>
            <w:vAlign w:val="center"/>
          </w:tcPr>
          <w:p w14:paraId="14E05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5177D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4" w:hRule="atLeast"/>
          <w:jc w:val="center"/>
        </w:trPr>
        <w:tc>
          <w:tcPr>
            <w:tcW w:w="653" w:type="pct"/>
            <w:vMerge w:val="restart"/>
            <w:tcBorders>
              <w:tl2br w:val="nil"/>
              <w:tr2bl w:val="nil"/>
            </w:tcBorders>
            <w:vAlign w:val="center"/>
          </w:tcPr>
          <w:p w14:paraId="6A3C8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应急监测组</w:t>
            </w:r>
          </w:p>
        </w:tc>
        <w:tc>
          <w:tcPr>
            <w:tcW w:w="278" w:type="pct"/>
            <w:tcBorders>
              <w:tl2br w:val="nil"/>
              <w:tr2bl w:val="nil"/>
            </w:tcBorders>
            <w:vAlign w:val="center"/>
          </w:tcPr>
          <w:p w14:paraId="5C1DB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5568DA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市生态环境局武陵源分局</w:t>
            </w:r>
          </w:p>
        </w:tc>
        <w:tc>
          <w:tcPr>
            <w:tcW w:w="2169" w:type="pct"/>
            <w:vMerge w:val="restart"/>
            <w:tcBorders>
              <w:tl2br w:val="nil"/>
              <w:tr2bl w:val="nil"/>
            </w:tcBorders>
            <w:vAlign w:val="center"/>
          </w:tcPr>
          <w:p w14:paraId="6C99A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（1）负责制定应急监测方案；</w:t>
            </w:r>
          </w:p>
          <w:p w14:paraId="44891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（2）负责在污染带上游、下游分别设置断面进行应急监测；</w:t>
            </w:r>
          </w:p>
          <w:p w14:paraId="636FD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（3）负责应急期间的水源地、供水单位和管网末梢水的水质监测。</w:t>
            </w:r>
          </w:p>
        </w:tc>
      </w:tr>
      <w:tr w14:paraId="2FEA1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6AFF0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tcBorders>
              <w:tl2br w:val="nil"/>
              <w:tr2bl w:val="nil"/>
            </w:tcBorders>
            <w:vAlign w:val="center"/>
          </w:tcPr>
          <w:p w14:paraId="66EE7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192B98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区农业农村水利局</w:t>
            </w:r>
          </w:p>
        </w:tc>
        <w:tc>
          <w:tcPr>
            <w:tcW w:w="2169" w:type="pct"/>
            <w:vMerge w:val="continue"/>
            <w:tcBorders>
              <w:tl2br w:val="nil"/>
              <w:tr2bl w:val="nil"/>
            </w:tcBorders>
            <w:vAlign w:val="center"/>
          </w:tcPr>
          <w:p w14:paraId="2C022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6515E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54611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应急供水保障组</w:t>
            </w:r>
          </w:p>
        </w:tc>
        <w:tc>
          <w:tcPr>
            <w:tcW w:w="278" w:type="pct"/>
            <w:tcBorders>
              <w:tl2br w:val="nil"/>
              <w:tr2bl w:val="nil"/>
            </w:tcBorders>
            <w:vAlign w:val="center"/>
          </w:tcPr>
          <w:p w14:paraId="540FBF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3BC5D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区农业农村水利局</w:t>
            </w:r>
          </w:p>
        </w:tc>
        <w:tc>
          <w:tcPr>
            <w:tcW w:w="2169" w:type="pct"/>
            <w:vMerge w:val="restart"/>
            <w:tcBorders>
              <w:tl2br w:val="nil"/>
              <w:tr2bl w:val="nil"/>
            </w:tcBorders>
            <w:vAlign w:val="center"/>
          </w:tcPr>
          <w:p w14:paraId="356040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（1）负责制定应急供水保障方案；</w:t>
            </w:r>
          </w:p>
          <w:p w14:paraId="445DE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（2）负责指导供水单位启动</w:t>
            </w:r>
            <w:r>
              <w:rPr>
                <w:rFonts w:hint="eastAsia" w:ascii="宋体" w:hAnsi="宋体" w:cs="宋体"/>
                <w:sz w:val="21"/>
                <w:szCs w:val="21"/>
                <w:lang w:val="en-US" w:eastAsia="zh-CN"/>
              </w:rPr>
              <w:t>应急处理</w:t>
            </w:r>
            <w:r>
              <w:rPr>
                <w:rFonts w:hint="eastAsia" w:ascii="宋体" w:hAnsi="宋体" w:cs="宋体"/>
                <w:sz w:val="21"/>
                <w:szCs w:val="21"/>
              </w:rPr>
              <w:t>设施或备用水源以及应急供水车等措施，保障居民用水。</w:t>
            </w:r>
          </w:p>
        </w:tc>
      </w:tr>
      <w:tr w14:paraId="39A463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7F3910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vMerge w:val="restart"/>
            <w:tcBorders>
              <w:tl2br w:val="nil"/>
              <w:tr2bl w:val="nil"/>
            </w:tcBorders>
            <w:vAlign w:val="center"/>
          </w:tcPr>
          <w:p w14:paraId="7D6BFE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03438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武陵源区供水公司</w:t>
            </w:r>
          </w:p>
        </w:tc>
        <w:tc>
          <w:tcPr>
            <w:tcW w:w="2169" w:type="pct"/>
            <w:vMerge w:val="continue"/>
            <w:tcBorders>
              <w:tl2br w:val="nil"/>
              <w:tr2bl w:val="nil"/>
            </w:tcBorders>
            <w:vAlign w:val="center"/>
          </w:tcPr>
          <w:p w14:paraId="166A2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3EAA36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5997D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278" w:type="pct"/>
            <w:vMerge w:val="continue"/>
            <w:tcBorders>
              <w:tl2br w:val="nil"/>
              <w:tr2bl w:val="nil"/>
            </w:tcBorders>
            <w:vAlign w:val="center"/>
          </w:tcPr>
          <w:p w14:paraId="27A22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1898" w:type="pct"/>
            <w:tcBorders>
              <w:tl2br w:val="nil"/>
              <w:tr2bl w:val="nil"/>
            </w:tcBorders>
            <w:vAlign w:val="center"/>
          </w:tcPr>
          <w:p w14:paraId="52C38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区消防救援大队</w:t>
            </w:r>
          </w:p>
        </w:tc>
        <w:tc>
          <w:tcPr>
            <w:tcW w:w="2169" w:type="pct"/>
            <w:vMerge w:val="continue"/>
            <w:tcBorders>
              <w:tl2br w:val="nil"/>
              <w:tr2bl w:val="nil"/>
            </w:tcBorders>
            <w:vAlign w:val="center"/>
          </w:tcPr>
          <w:p w14:paraId="2EE8A2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457887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73D92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应急物资保障组</w:t>
            </w:r>
          </w:p>
        </w:tc>
        <w:tc>
          <w:tcPr>
            <w:tcW w:w="278" w:type="pct"/>
            <w:tcBorders>
              <w:tl2br w:val="nil"/>
              <w:tr2bl w:val="nil"/>
            </w:tcBorders>
            <w:vAlign w:val="center"/>
          </w:tcPr>
          <w:p w14:paraId="580F4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0A13D2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区应急管理局</w:t>
            </w:r>
          </w:p>
        </w:tc>
        <w:tc>
          <w:tcPr>
            <w:tcW w:w="2169" w:type="pct"/>
            <w:vMerge w:val="restart"/>
            <w:tcBorders>
              <w:tl2br w:val="nil"/>
              <w:tr2bl w:val="nil"/>
            </w:tcBorders>
            <w:vAlign w:val="center"/>
          </w:tcPr>
          <w:p w14:paraId="24AAE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（1）负责制定应急物资保障方案；</w:t>
            </w:r>
          </w:p>
          <w:p w14:paraId="40ED6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（2）负责调配应急物资、协调运输车辆；</w:t>
            </w:r>
          </w:p>
          <w:p w14:paraId="74D5D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（3）负责协调补偿征用物资、应急救援和污染物处置等费用。</w:t>
            </w:r>
          </w:p>
        </w:tc>
      </w:tr>
      <w:tr w14:paraId="47A6F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183BD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78" w:type="pct"/>
            <w:tcBorders>
              <w:tl2br w:val="nil"/>
              <w:tr2bl w:val="nil"/>
            </w:tcBorders>
            <w:vAlign w:val="center"/>
          </w:tcPr>
          <w:p w14:paraId="431A6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35074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eastAsia="zh-CN"/>
              </w:rPr>
              <w:t>区城乡建设和交通运输局</w:t>
            </w:r>
          </w:p>
        </w:tc>
        <w:tc>
          <w:tcPr>
            <w:tcW w:w="2169" w:type="pct"/>
            <w:vMerge w:val="continue"/>
            <w:tcBorders>
              <w:tl2br w:val="nil"/>
              <w:tr2bl w:val="nil"/>
            </w:tcBorders>
            <w:vAlign w:val="center"/>
          </w:tcPr>
          <w:p w14:paraId="2C5E9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r w14:paraId="074CE8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tcBorders>
              <w:tl2br w:val="nil"/>
              <w:tr2bl w:val="nil"/>
            </w:tcBorders>
            <w:vAlign w:val="center"/>
          </w:tcPr>
          <w:p w14:paraId="33384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应急专家组</w:t>
            </w:r>
          </w:p>
        </w:tc>
        <w:tc>
          <w:tcPr>
            <w:tcW w:w="278" w:type="pct"/>
            <w:tcBorders>
              <w:tl2br w:val="nil"/>
              <w:tr2bl w:val="nil"/>
            </w:tcBorders>
            <w:vAlign w:val="center"/>
          </w:tcPr>
          <w:p w14:paraId="03D498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rPr>
              <w:t>/</w:t>
            </w:r>
          </w:p>
        </w:tc>
        <w:tc>
          <w:tcPr>
            <w:tcW w:w="1898" w:type="pct"/>
            <w:tcBorders>
              <w:tl2br w:val="nil"/>
              <w:tr2bl w:val="nil"/>
            </w:tcBorders>
            <w:vAlign w:val="center"/>
          </w:tcPr>
          <w:p w14:paraId="3C449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为参谋机构，由水源地管理、水体修复、环境保护和饮水卫生安全等方面的专家组成。</w:t>
            </w:r>
          </w:p>
        </w:tc>
        <w:tc>
          <w:tcPr>
            <w:tcW w:w="2169" w:type="pct"/>
            <w:tcBorders>
              <w:tl2br w:val="nil"/>
              <w:tr2bl w:val="nil"/>
            </w:tcBorders>
            <w:vAlign w:val="center"/>
          </w:tcPr>
          <w:p w14:paraId="20576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rPr>
              <w:t>为现场应急处置提供技术支持。</w:t>
            </w:r>
          </w:p>
        </w:tc>
      </w:tr>
      <w:tr w14:paraId="2A8A9C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restart"/>
            <w:tcBorders>
              <w:tl2br w:val="nil"/>
              <w:tr2bl w:val="nil"/>
            </w:tcBorders>
            <w:vAlign w:val="center"/>
          </w:tcPr>
          <w:p w14:paraId="59FFF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val="en-US" w:eastAsia="zh-CN"/>
              </w:rPr>
              <w:t>新闻宣传与舆情监测组</w:t>
            </w:r>
          </w:p>
        </w:tc>
        <w:tc>
          <w:tcPr>
            <w:tcW w:w="278" w:type="pct"/>
            <w:tcBorders>
              <w:tl2br w:val="nil"/>
              <w:tr2bl w:val="nil"/>
            </w:tcBorders>
            <w:vAlign w:val="center"/>
          </w:tcPr>
          <w:p w14:paraId="61E6D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rPr>
            </w:pPr>
            <w:r>
              <w:rPr>
                <w:rFonts w:hint="eastAsia" w:ascii="宋体" w:hAnsi="宋体" w:cs="宋体"/>
                <w:sz w:val="21"/>
                <w:szCs w:val="21"/>
                <w:lang w:val="en-US" w:eastAsia="zh-CN"/>
              </w:rPr>
              <w:t>组长</w:t>
            </w:r>
          </w:p>
        </w:tc>
        <w:tc>
          <w:tcPr>
            <w:tcW w:w="1898" w:type="pct"/>
            <w:tcBorders>
              <w:tl2br w:val="nil"/>
              <w:tr2bl w:val="nil"/>
            </w:tcBorders>
            <w:vAlign w:val="center"/>
          </w:tcPr>
          <w:p w14:paraId="345FF0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sz w:val="21"/>
                <w:szCs w:val="21"/>
              </w:rPr>
            </w:pPr>
            <w:r>
              <w:rPr>
                <w:rFonts w:hint="eastAsia" w:ascii="宋体" w:hAnsi="宋体" w:cs="宋体"/>
                <w:kern w:val="2"/>
                <w:sz w:val="21"/>
                <w:szCs w:val="21"/>
                <w:lang w:val="en-US" w:eastAsia="zh-CN" w:bidi="ar-SA"/>
              </w:rPr>
              <w:t>区委宣传部</w:t>
            </w:r>
          </w:p>
        </w:tc>
        <w:tc>
          <w:tcPr>
            <w:tcW w:w="2169" w:type="pct"/>
            <w:vMerge w:val="restart"/>
            <w:tcBorders>
              <w:tl2br w:val="nil"/>
              <w:tr2bl w:val="nil"/>
            </w:tcBorders>
            <w:vAlign w:val="center"/>
          </w:tcPr>
          <w:p w14:paraId="5CC75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eastAsia="宋体" w:cs="宋体"/>
                <w:sz w:val="21"/>
                <w:szCs w:val="21"/>
                <w:lang w:val="en-US" w:eastAsia="zh-CN"/>
              </w:rPr>
              <w:t>负责信息报告、信息发布和舆情应对等工作。</w:t>
            </w:r>
          </w:p>
        </w:tc>
      </w:tr>
      <w:tr w14:paraId="4CF01D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53" w:type="pct"/>
            <w:vMerge w:val="continue"/>
            <w:tcBorders>
              <w:tl2br w:val="nil"/>
              <w:tr2bl w:val="nil"/>
            </w:tcBorders>
            <w:vAlign w:val="center"/>
          </w:tcPr>
          <w:p w14:paraId="217106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c>
          <w:tcPr>
            <w:tcW w:w="278" w:type="pct"/>
            <w:tcBorders>
              <w:tl2br w:val="nil"/>
              <w:tr2bl w:val="nil"/>
            </w:tcBorders>
            <w:vAlign w:val="center"/>
          </w:tcPr>
          <w:p w14:paraId="6E514F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r>
              <w:rPr>
                <w:rFonts w:hint="eastAsia" w:ascii="宋体" w:hAnsi="宋体" w:cs="宋体"/>
                <w:sz w:val="21"/>
                <w:szCs w:val="21"/>
                <w:lang w:val="en-US" w:eastAsia="zh-CN"/>
              </w:rPr>
              <w:t>组员</w:t>
            </w:r>
          </w:p>
        </w:tc>
        <w:tc>
          <w:tcPr>
            <w:tcW w:w="1898" w:type="pct"/>
            <w:tcBorders>
              <w:tl2br w:val="nil"/>
              <w:tr2bl w:val="nil"/>
            </w:tcBorders>
            <w:vAlign w:val="center"/>
          </w:tcPr>
          <w:p w14:paraId="5E31E1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cs="宋体"/>
                <w:sz w:val="21"/>
                <w:szCs w:val="21"/>
              </w:rPr>
            </w:pPr>
            <w:r>
              <w:rPr>
                <w:rFonts w:hint="eastAsia" w:ascii="宋体" w:hAnsi="宋体" w:eastAsia="宋体" w:cs="宋体"/>
                <w:kern w:val="2"/>
                <w:sz w:val="21"/>
                <w:szCs w:val="21"/>
                <w:lang w:val="en-US" w:eastAsia="zh-CN" w:bidi="ar-SA"/>
              </w:rPr>
              <w:t>区融媒体中心</w:t>
            </w:r>
          </w:p>
        </w:tc>
        <w:tc>
          <w:tcPr>
            <w:tcW w:w="2169" w:type="pct"/>
            <w:vMerge w:val="continue"/>
            <w:tcBorders>
              <w:tl2br w:val="nil"/>
              <w:tr2bl w:val="nil"/>
            </w:tcBorders>
            <w:vAlign w:val="center"/>
          </w:tcPr>
          <w:p w14:paraId="37BE69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1"/>
                <w:szCs w:val="21"/>
              </w:rPr>
            </w:pPr>
          </w:p>
        </w:tc>
      </w:tr>
    </w:tbl>
    <w:p w14:paraId="39C9E33C">
      <w:pPr>
        <w:keepNext/>
        <w:keepLines/>
        <w:widowControl w:val="0"/>
        <w:spacing w:before="200" w:after="100" w:line="416" w:lineRule="auto"/>
        <w:ind w:firstLine="0" w:firstLineChars="0"/>
        <w:jc w:val="both"/>
        <w:outlineLvl w:val="1"/>
        <w:rPr>
          <w:rFonts w:ascii="Cambria" w:hAnsi="Cambria" w:eastAsia="宋体" w:cs="Times New Roman"/>
          <w:b/>
          <w:bCs/>
          <w:kern w:val="2"/>
          <w:sz w:val="30"/>
          <w:szCs w:val="32"/>
          <w:lang w:val="en-US" w:eastAsia="zh-CN" w:bidi="ar-SA"/>
        </w:rPr>
      </w:pPr>
      <w:bookmarkStart w:id="92" w:name="_Toc32044"/>
      <w:bookmarkStart w:id="93" w:name="_Toc24727"/>
      <w:bookmarkStart w:id="94" w:name="_Toc7057"/>
      <w:bookmarkStart w:id="95" w:name="_Toc29595"/>
      <w:bookmarkStart w:id="96" w:name="_Toc3005"/>
      <w:bookmarkStart w:id="97" w:name="_Toc4365"/>
      <w:bookmarkStart w:id="98" w:name="_Toc9568"/>
      <w:r>
        <w:rPr>
          <w:rFonts w:hint="eastAsia" w:ascii="Cambria" w:hAnsi="Cambria" w:eastAsia="宋体" w:cs="Times New Roman"/>
          <w:b/>
          <w:bCs/>
          <w:kern w:val="2"/>
          <w:sz w:val="30"/>
          <w:szCs w:val="32"/>
          <w:lang w:val="en-US" w:eastAsia="zh-CN" w:bidi="ar-SA"/>
        </w:rPr>
        <w:t>3</w:t>
      </w:r>
      <w:r>
        <w:rPr>
          <w:rFonts w:ascii="Cambria" w:hAnsi="Cambria" w:eastAsia="宋体" w:cs="Times New Roman"/>
          <w:b/>
          <w:bCs/>
          <w:kern w:val="2"/>
          <w:sz w:val="30"/>
          <w:szCs w:val="32"/>
          <w:lang w:val="en-US" w:eastAsia="zh-CN" w:bidi="ar-SA"/>
        </w:rPr>
        <w:t>、应急响应</w:t>
      </w:r>
      <w:bookmarkEnd w:id="92"/>
      <w:bookmarkEnd w:id="93"/>
      <w:bookmarkEnd w:id="94"/>
      <w:bookmarkEnd w:id="95"/>
      <w:bookmarkEnd w:id="96"/>
      <w:bookmarkEnd w:id="97"/>
      <w:bookmarkEnd w:id="98"/>
    </w:p>
    <w:p w14:paraId="6BFFB938">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99" w:name="_Toc15849"/>
      <w:bookmarkStart w:id="100" w:name="_Toc5054"/>
      <w:bookmarkStart w:id="101" w:name="_Toc6373"/>
      <w:bookmarkStart w:id="102" w:name="_Toc25717"/>
      <w:bookmarkStart w:id="103" w:name="_Toc23076"/>
      <w:bookmarkStart w:id="104" w:name="_Toc2458"/>
      <w:bookmarkStart w:id="105" w:name="_Toc12136"/>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1信息收集和研判</w:t>
      </w:r>
      <w:bookmarkEnd w:id="99"/>
      <w:bookmarkEnd w:id="100"/>
      <w:bookmarkEnd w:id="101"/>
      <w:bookmarkEnd w:id="102"/>
      <w:bookmarkEnd w:id="103"/>
    </w:p>
    <w:p w14:paraId="3A6CCED6">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1</w:t>
      </w:r>
      <w:r>
        <w:rPr>
          <w:rFonts w:ascii="Cambria" w:hAnsi="Cambria" w:eastAsia="宋体" w:cs="Times New Roman"/>
          <w:b/>
          <w:bCs/>
          <w:kern w:val="2"/>
          <w:sz w:val="28"/>
          <w:szCs w:val="28"/>
          <w:lang w:val="en-US" w:eastAsia="zh-CN" w:bidi="ar-SA"/>
        </w:rPr>
        <w:t>.1</w:t>
      </w:r>
      <w:r>
        <w:rPr>
          <w:rFonts w:hint="eastAsia" w:ascii="Cambria" w:hAnsi="Cambria" w:eastAsia="宋体" w:cs="Times New Roman"/>
          <w:b/>
          <w:bCs/>
          <w:kern w:val="2"/>
          <w:sz w:val="28"/>
          <w:szCs w:val="28"/>
          <w:lang w:val="en-US" w:eastAsia="zh-CN" w:bidi="ar-SA"/>
        </w:rPr>
        <w:t>信息收集</w:t>
      </w:r>
    </w:p>
    <w:p w14:paraId="7ECCD0EC">
      <w:r>
        <w:rPr>
          <w:rFonts w:hint="eastAsia"/>
        </w:rPr>
        <w:t>应该明确信息收集的责任单位、信息来源、信息收集范围和途径。其中，信息收集范围应与水源地应急预案适用的地域范围保持一致。</w:t>
      </w:r>
    </w:p>
    <w:p w14:paraId="72A8BE9B">
      <w:r>
        <w:rPr>
          <w:rFonts w:hint="eastAsia"/>
        </w:rPr>
        <w:t>信息来源主要包括：</w:t>
      </w:r>
    </w:p>
    <w:p w14:paraId="59703F2F">
      <w:r>
        <w:rPr>
          <w:rFonts w:hint="eastAsia"/>
        </w:rPr>
        <w:t>水质异常信息来源：张家界市人民政府、武陵源区人民政府、</w:t>
      </w:r>
      <w:r>
        <w:rPr>
          <w:rFonts w:hint="eastAsia"/>
          <w:lang w:eastAsia="zh-CN"/>
        </w:rPr>
        <w:t>市生态环境局武陵源分局</w:t>
      </w:r>
      <w:r>
        <w:rPr>
          <w:rFonts w:hint="eastAsia"/>
        </w:rPr>
        <w:t>、</w:t>
      </w:r>
      <w:r>
        <w:rPr>
          <w:rFonts w:hint="eastAsia"/>
          <w:lang w:eastAsia="zh-CN"/>
        </w:rPr>
        <w:t>区城乡建设和交通运输局</w:t>
      </w:r>
      <w:r>
        <w:rPr>
          <w:rFonts w:hint="eastAsia"/>
        </w:rPr>
        <w:t>、</w:t>
      </w:r>
      <w:r>
        <w:rPr>
          <w:rFonts w:hint="eastAsia"/>
          <w:lang w:eastAsia="zh-CN"/>
        </w:rPr>
        <w:t>区农业农村水利局</w:t>
      </w:r>
      <w:r>
        <w:rPr>
          <w:rFonts w:hint="eastAsia"/>
        </w:rPr>
        <w:t>等部门，可通过流域、水源地或供水单位开展的水质监督性监测（常规断面）、在线监测（常规和预警监控断面）等日常监管渠道获取水质异常信息，也可以通过水文气象、地质灾害、污染源排放等信息开展水质预测预警，获取水质异常信息</w:t>
      </w:r>
    </w:p>
    <w:p w14:paraId="15910FDE">
      <w:r>
        <w:t>水华事件信息</w:t>
      </w:r>
      <w:r>
        <w:rPr>
          <w:rFonts w:hint="eastAsia"/>
        </w:rPr>
        <w:t>来源：</w:t>
      </w:r>
      <w:r>
        <w:rPr>
          <w:rFonts w:hint="eastAsia"/>
          <w:lang w:eastAsia="zh-CN"/>
        </w:rPr>
        <w:t>市生态环境局武陵源分局</w:t>
      </w:r>
      <w:r>
        <w:t>可通过水源地上游及周边主要风险源监控获取异常排放信息，也可通过12369热线、网络等途径获取突发环境事件信息</w:t>
      </w:r>
      <w:r>
        <w:rPr>
          <w:rFonts w:hint="eastAsia"/>
        </w:rPr>
        <w:t>；</w:t>
      </w:r>
      <w:r>
        <w:rPr>
          <w:rFonts w:hint="eastAsia"/>
          <w:lang w:val="en-US" w:eastAsia="zh-CN"/>
        </w:rPr>
        <w:t>市交警直属二大队</w:t>
      </w:r>
      <w:r>
        <w:t>可通过交通事故报警获取流动源事故信息</w:t>
      </w:r>
      <w:r>
        <w:rPr>
          <w:rFonts w:hint="eastAsia"/>
        </w:rPr>
        <w:t>；</w:t>
      </w:r>
      <w:r>
        <w:rPr>
          <w:rFonts w:hint="eastAsia"/>
          <w:lang w:eastAsia="zh-CN"/>
        </w:rPr>
        <w:t>区农业农村水利局</w:t>
      </w:r>
      <w:r>
        <w:t>可通过对湖泊</w:t>
      </w:r>
      <w:r>
        <w:rPr>
          <w:rFonts w:hint="eastAsia"/>
        </w:rPr>
        <w:t>（</w:t>
      </w:r>
      <w:r>
        <w:t>水库</w:t>
      </w:r>
      <w:r>
        <w:rPr>
          <w:rFonts w:hint="eastAsia"/>
        </w:rPr>
        <w:t>）</w:t>
      </w:r>
      <w:r>
        <w:t>藻密度变化情况的监测获取水华事件信息。</w:t>
      </w:r>
    </w:p>
    <w:p w14:paraId="227487E2">
      <w:r>
        <w:rPr>
          <w:rFonts w:hint="eastAsia"/>
        </w:rPr>
        <w:t>（3）其他信息来源：通过武陵源人民政府不同部门之间、与张家界市政府之间建立的信息收集与共享渠道，获取突发环境事件信息。</w:t>
      </w:r>
    </w:p>
    <w:p w14:paraId="62A729C8">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1</w:t>
      </w:r>
      <w:r>
        <w:rPr>
          <w:rFonts w:ascii="Cambria" w:hAnsi="Cambria" w:eastAsia="宋体" w:cs="Times New Roman"/>
          <w:b/>
          <w:bCs/>
          <w:kern w:val="2"/>
          <w:sz w:val="28"/>
          <w:szCs w:val="28"/>
          <w:lang w:val="en-US" w:eastAsia="zh-CN" w:bidi="ar-SA"/>
        </w:rPr>
        <w:t>.</w:t>
      </w:r>
      <w:r>
        <w:rPr>
          <w:rFonts w:hint="eastAsia" w:ascii="Cambria" w:hAnsi="Cambria" w:eastAsia="宋体" w:cs="Times New Roman"/>
          <w:b/>
          <w:bCs/>
          <w:kern w:val="2"/>
          <w:sz w:val="28"/>
          <w:szCs w:val="28"/>
          <w:lang w:val="en-US" w:eastAsia="zh-CN" w:bidi="ar-SA"/>
        </w:rPr>
        <w:t>2信息研判与会商</w:t>
      </w:r>
    </w:p>
    <w:p w14:paraId="694AF9E5">
      <w:r>
        <w:t>通过日常监管渠道首次发现水质异常或群众举报、责任单位报告等获取突发事件信息的部门，应第一时间开展以下工作。</w:t>
      </w:r>
    </w:p>
    <w:p w14:paraId="3BAA071F">
      <w:pPr>
        <w:outlineLvl w:val="4"/>
      </w:pPr>
      <w:r>
        <w:rPr>
          <w:rFonts w:hint="eastAsia"/>
        </w:rPr>
        <w:t>（1）</w:t>
      </w:r>
      <w:r>
        <w:t>核实信息的真实性。</w:t>
      </w:r>
    </w:p>
    <w:p w14:paraId="141A3EB0">
      <w:r>
        <w:rPr>
          <w:rFonts w:hint="eastAsia"/>
        </w:rPr>
        <w:t>（2）</w:t>
      </w:r>
      <w:r>
        <w:t>进一步收集信息，必要时通报有关部门共同开展信息收集工作。</w:t>
      </w:r>
    </w:p>
    <w:p w14:paraId="7D7C4561">
      <w:pPr>
        <w:outlineLvl w:val="4"/>
      </w:pPr>
      <w:r>
        <w:rPr>
          <w:rFonts w:hint="eastAsia"/>
        </w:rPr>
        <w:t>（3）</w:t>
      </w:r>
      <w:r>
        <w:t>将有关信息报告</w:t>
      </w:r>
      <w:r>
        <w:rPr>
          <w:rFonts w:hint="eastAsia"/>
        </w:rPr>
        <w:t>武陵源区</w:t>
      </w:r>
      <w:r>
        <w:t>人民政府</w:t>
      </w:r>
      <w:r>
        <w:rPr>
          <w:rFonts w:hint="eastAsia"/>
        </w:rPr>
        <w:t>，</w:t>
      </w:r>
    </w:p>
    <w:p w14:paraId="3C08D141">
      <w:r>
        <w:t>接到信息报告的</w:t>
      </w:r>
      <w:r>
        <w:rPr>
          <w:rFonts w:hint="eastAsia"/>
        </w:rPr>
        <w:t>武陵源区</w:t>
      </w:r>
      <w:r>
        <w:t>人民政府应立即组织有关部门及应急专家进行会商，研判水质变化趋势，若判断可能对水源地水质造成影响，应立即成立现场应急指挥部。</w:t>
      </w:r>
    </w:p>
    <w:p w14:paraId="207B672D">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06" w:name="_Toc27731"/>
      <w:bookmarkStart w:id="107" w:name="_Toc20568"/>
      <w:bookmarkStart w:id="108" w:name="_Toc31851"/>
      <w:bookmarkStart w:id="109" w:name="_Toc7461"/>
      <w:bookmarkStart w:id="110" w:name="_Toc4099"/>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2</w:t>
      </w:r>
      <w:r>
        <w:rPr>
          <w:rFonts w:ascii="Times New Roman" w:hAnsi="Times New Roman" w:eastAsia="宋体" w:cs="Times New Roman"/>
          <w:b/>
          <w:bCs/>
          <w:kern w:val="2"/>
          <w:sz w:val="30"/>
          <w:szCs w:val="32"/>
          <w:lang w:val="en-US" w:eastAsia="zh-CN" w:bidi="ar-SA"/>
        </w:rPr>
        <w:t>预警</w:t>
      </w:r>
      <w:bookmarkEnd w:id="104"/>
      <w:bookmarkEnd w:id="105"/>
      <w:bookmarkEnd w:id="106"/>
      <w:bookmarkEnd w:id="107"/>
      <w:bookmarkEnd w:id="108"/>
      <w:bookmarkEnd w:id="109"/>
      <w:bookmarkEnd w:id="110"/>
    </w:p>
    <w:p w14:paraId="4F8E445B">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2</w:t>
      </w:r>
      <w:r>
        <w:rPr>
          <w:rFonts w:ascii="Cambria" w:hAnsi="Cambria" w:eastAsia="宋体" w:cs="Times New Roman"/>
          <w:b/>
          <w:bCs/>
          <w:kern w:val="2"/>
          <w:sz w:val="28"/>
          <w:szCs w:val="28"/>
          <w:lang w:val="en-US" w:eastAsia="zh-CN" w:bidi="ar-SA"/>
        </w:rPr>
        <w:t>.1预警分级</w:t>
      </w:r>
    </w:p>
    <w:p w14:paraId="64E5C0E1">
      <w:r>
        <w:t>董家峪水库饮用水水源在突发环境事件中，预警等级分为二级，具体为橙色二级预警和红色一级预警。</w:t>
      </w:r>
    </w:p>
    <w:p w14:paraId="1B3AA505">
      <w:r>
        <w:t>当污染物迁移至水源地应急预案适用的地域范围，但水源保护区或其连接水体尚未受到污染，或是污染物已进入水源保护区上游连接水体，但应急专家组研判认为对水源地水质影响可能较小、可能不影响取水时，为橙色预警；当污染物已进入（或出现在）水源保护区或其上游连接水体，且应急专家组研判认为对水源地水质影响可能较大时、可能影响取水时，为红色预警。</w:t>
      </w:r>
    </w:p>
    <w:p w14:paraId="109EDAEC">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2</w:t>
      </w:r>
      <w:r>
        <w:rPr>
          <w:rFonts w:ascii="Cambria" w:hAnsi="Cambria" w:eastAsia="宋体" w:cs="Times New Roman"/>
          <w:b/>
          <w:bCs/>
          <w:kern w:val="2"/>
          <w:sz w:val="28"/>
          <w:szCs w:val="28"/>
          <w:lang w:val="en-US" w:eastAsia="zh-CN" w:bidi="ar-SA"/>
        </w:rPr>
        <w:t>.2预警的启动条件</w:t>
      </w:r>
    </w:p>
    <w:p w14:paraId="5BD5ED8A">
      <w:r>
        <w:t>红色一级预警，在下列情形中可作为预警启动条件：</w:t>
      </w:r>
    </w:p>
    <w:p w14:paraId="145C32C9">
      <w:r>
        <w:t>（1）通过信息报告发现，在董家峪水库饮用水水源地一级保护区内发生突发环境事件。</w:t>
      </w:r>
    </w:p>
    <w:p w14:paraId="7C802DDD">
      <w:r>
        <w:t>（2）通过信息报告发现，董家峪水库饮用水水源地保护区内发生突发火灾突发环境事件。</w:t>
      </w:r>
    </w:p>
    <w:p w14:paraId="4969276B">
      <w:r>
        <w:t>（3）通过监测发现，水源保护区水体理化指标异常，主要异常现象包括：通过监测发现，水源保护区或其上游连接水体理化指标异常。在保护区内，出现水质监测指标超标</w:t>
      </w:r>
      <w:r>
        <w:rPr>
          <w:rFonts w:hint="eastAsia"/>
        </w:rPr>
        <w:t>3倍及</w:t>
      </w:r>
      <w:r>
        <w:t>以上</w:t>
      </w:r>
      <w:r>
        <w:rPr>
          <w:rFonts w:hint="eastAsia"/>
        </w:rPr>
        <w:t>的（总氮除外）、有毒有害物质</w:t>
      </w:r>
      <w:r>
        <w:t>或生物综合毒性异常，经实验室</w:t>
      </w:r>
      <w:r>
        <w:rPr>
          <w:rFonts w:hint="eastAsia"/>
        </w:rPr>
        <w:t>检</w:t>
      </w:r>
      <w:r>
        <w:t>（复）测确认的；</w:t>
      </w:r>
    </w:p>
    <w:p w14:paraId="32067764">
      <w:pPr>
        <w:rPr>
          <w:rFonts w:hint="eastAsia" w:eastAsia="宋体"/>
          <w:lang w:eastAsia="zh-CN"/>
        </w:rPr>
      </w:pPr>
      <w:r>
        <w:rPr>
          <w:rFonts w:hint="eastAsia"/>
        </w:rPr>
        <w:t>（4）</w:t>
      </w:r>
      <w:r>
        <w:t>通过监测发现，水源保护区或水体感官性状异常，即水体出现异常颜色或气味</w:t>
      </w:r>
      <w:r>
        <w:rPr>
          <w:rFonts w:hint="eastAsia" w:eastAsia="宋体"/>
          <w:lang w:eastAsia="zh-CN"/>
        </w:rPr>
        <w:t>，</w:t>
      </w:r>
      <w:r>
        <w:rPr>
          <w:rFonts w:hint="eastAsia" w:ascii="Times New Roman" w:eastAsia="宋体"/>
          <w:lang w:val="en-US" w:eastAsia="zh-CN"/>
        </w:rPr>
        <w:t>或</w:t>
      </w:r>
      <w:r>
        <w:t>水面出现大面积死鱼或生物综合毒性异常并经实验室监测确定</w:t>
      </w:r>
    </w:p>
    <w:p w14:paraId="67E90222">
      <w:pPr>
        <w:rPr>
          <w:rFonts w:hint="eastAsia" w:eastAsia="宋体"/>
          <w:lang w:eastAsia="zh-CN"/>
        </w:rPr>
      </w:pPr>
      <w:r>
        <w:rPr>
          <w:rFonts w:hint="eastAsia"/>
        </w:rPr>
        <w:t>（5）</w:t>
      </w:r>
      <w:r>
        <w:rPr>
          <w:rFonts w:hint="eastAsia"/>
          <w:color w:val="000000"/>
        </w:rPr>
        <w:t>通过信息报告发现，发生特大暴雨、洪水等极端天气突发环境事件导致一级保护区受到污染</w:t>
      </w:r>
      <w:r>
        <w:rPr>
          <w:rFonts w:hint="eastAsia" w:eastAsia="宋体"/>
          <w:color w:val="000000"/>
          <w:lang w:eastAsia="zh-CN"/>
        </w:rPr>
        <w:t>。</w:t>
      </w:r>
    </w:p>
    <w:p w14:paraId="07E6124F">
      <w:r>
        <w:t>橙色二级预警，在下列情形中可作为预警启动条件：</w:t>
      </w:r>
    </w:p>
    <w:p w14:paraId="79B0D024">
      <w:r>
        <w:t>（1）通过信息报告发现，在董家峪饮用水水源地汇水范围外发生突发环境事件，并可能对水源地造成影响。</w:t>
      </w:r>
    </w:p>
    <w:p w14:paraId="5389CC94">
      <w:r>
        <w:t>（2）</w:t>
      </w:r>
      <w:r>
        <w:rPr>
          <w:rFonts w:hint="eastAsia"/>
        </w:rPr>
        <w:t>根据水质监测，</w:t>
      </w:r>
      <w:r>
        <w:t>供水水厂取水水质超标1倍以上3倍以下</w:t>
      </w:r>
      <w:r>
        <w:rPr>
          <w:rFonts w:hint="eastAsia"/>
        </w:rPr>
        <w:t>（总氮除外）</w:t>
      </w:r>
      <w:r>
        <w:t>。</w:t>
      </w:r>
    </w:p>
    <w:p w14:paraId="16508380">
      <w:pPr>
        <w:rPr>
          <w:rFonts w:hint="eastAsia" w:eastAsia="宋体"/>
          <w:lang w:eastAsia="zh-CN"/>
        </w:rPr>
      </w:pPr>
      <w:r>
        <w:rPr>
          <w:rFonts w:hint="eastAsia" w:eastAsia="宋体"/>
          <w:lang w:eastAsia="zh-CN"/>
        </w:rPr>
        <w:t>（</w:t>
      </w:r>
      <w:r>
        <w:rPr>
          <w:rFonts w:hint="eastAsia" w:ascii="Times New Roman" w:eastAsia="宋体"/>
          <w:lang w:val="en-US" w:eastAsia="zh-CN"/>
        </w:rPr>
        <w:t>3</w:t>
      </w:r>
      <w:r>
        <w:rPr>
          <w:rFonts w:hint="eastAsia" w:eastAsia="宋体"/>
          <w:lang w:eastAsia="zh-CN"/>
        </w:rPr>
        <w:t>）</w:t>
      </w:r>
      <w:r>
        <w:rPr>
          <w:rFonts w:hint="eastAsia"/>
          <w:color w:val="000000"/>
        </w:rPr>
        <w:t>通过信息报告发现，发生特大暴雨、洪水等极端天气突发环境事件</w:t>
      </w:r>
      <w:r>
        <w:rPr>
          <w:rFonts w:hint="eastAsia" w:ascii="Times New Roman" w:eastAsia="宋体"/>
          <w:color w:val="000000"/>
          <w:lang w:val="en-US" w:eastAsia="zh-CN"/>
        </w:rPr>
        <w:t>暂未</w:t>
      </w:r>
      <w:r>
        <w:rPr>
          <w:rFonts w:hint="eastAsia"/>
          <w:color w:val="000000"/>
        </w:rPr>
        <w:t>导致保护区受到污染</w:t>
      </w:r>
      <w:r>
        <w:rPr>
          <w:rFonts w:hint="eastAsia" w:eastAsia="宋体"/>
          <w:color w:val="000000"/>
          <w:lang w:eastAsia="zh-CN"/>
        </w:rPr>
        <w:t>。</w:t>
      </w:r>
    </w:p>
    <w:p w14:paraId="7CE1157C">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2</w:t>
      </w:r>
      <w:r>
        <w:rPr>
          <w:rFonts w:ascii="Cambria" w:hAnsi="Cambria" w:eastAsia="宋体" w:cs="Times New Roman"/>
          <w:b/>
          <w:bCs/>
          <w:kern w:val="2"/>
          <w:sz w:val="28"/>
          <w:szCs w:val="28"/>
          <w:lang w:val="en-US" w:eastAsia="zh-CN" w:bidi="ar-SA"/>
        </w:rPr>
        <w:t>.3发布预警和预警级别调整</w:t>
      </w:r>
    </w:p>
    <w:p w14:paraId="0B85D53E">
      <w:r>
        <w:t>在董家峪水库饮用水水源地突发环境事件中，现场应急总指挥在接收到事件实时信息，并根据专家意见对信息进行研判，根据事件达到的预警级别条件发布相应的预警。</w:t>
      </w:r>
    </w:p>
    <w:p w14:paraId="50E29C58">
      <w:r>
        <w:t>在预警信息发布后，可根据事态发展，采取措施的效果，适时地调整预警级别并再次发布。</w:t>
      </w:r>
    </w:p>
    <w:p w14:paraId="03F959B0">
      <w:r>
        <w:t>预警发布的对象，主要针对组织实施预警行动和应急处置行动的部门和单位。</w:t>
      </w:r>
    </w:p>
    <w:p w14:paraId="04F19037">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2</w:t>
      </w:r>
      <w:r>
        <w:rPr>
          <w:rFonts w:ascii="Cambria" w:hAnsi="Cambria" w:eastAsia="宋体" w:cs="Times New Roman"/>
          <w:b/>
          <w:bCs/>
          <w:kern w:val="2"/>
          <w:sz w:val="28"/>
          <w:szCs w:val="28"/>
          <w:lang w:val="en-US" w:eastAsia="zh-CN" w:bidi="ar-SA"/>
        </w:rPr>
        <w:t>.4预警行动</w:t>
      </w:r>
    </w:p>
    <w:p w14:paraId="29028295">
      <w:r>
        <w:t>在董家峪水库饮用水水源地突发环境事件预警信息发布后，实施预警行动，应急组织指挥机构对董家峪水库饮用水水源地突发事故信息进行跟踪收集和研判：</w:t>
      </w:r>
    </w:p>
    <w:p w14:paraId="5BF2650F">
      <w:r>
        <w:t>预警等级为红色一级预警，应急组织机构总指挥应到达现场，成立现场应急指挥部，</w:t>
      </w:r>
      <w:r>
        <w:rPr>
          <w:rFonts w:hint="eastAsia"/>
        </w:rPr>
        <w:t>组织</w:t>
      </w:r>
      <w:r>
        <w:t>应急队伍和应急人员进行先期处置；</w:t>
      </w:r>
    </w:p>
    <w:p w14:paraId="7A9D5587">
      <w:r>
        <w:t>预警等级为橙色二级预警，</w:t>
      </w:r>
      <w:r>
        <w:rPr>
          <w:rFonts w:hint="eastAsia"/>
        </w:rPr>
        <w:t>市生态环境局武陵源分局</w:t>
      </w:r>
      <w:r>
        <w:t>、</w:t>
      </w:r>
      <w:r>
        <w:rPr>
          <w:rFonts w:hint="eastAsia"/>
          <w:lang w:eastAsia="zh-CN"/>
        </w:rPr>
        <w:t>区农业农村水利局</w:t>
      </w:r>
      <w:r>
        <w:t>等日常管理机构主管部门领导应迅速到达现场，组织应急队伍和应急人员进行先期处置，并及时向应急组织指挥机构总指挥报告。</w:t>
      </w:r>
    </w:p>
    <w:p w14:paraId="675A9B49">
      <w:r>
        <w:rPr>
          <w:rFonts w:hint="eastAsia"/>
        </w:rPr>
        <w:t>发布红色一级预警后，</w:t>
      </w:r>
      <w:r>
        <w:t>应急组织机构总指挥组织开展应急响应工作。按照预案中列明的副总指挥、协调办公室、现场指挥部、专项工作组成员及名单，挑选需参加应急指挥的工作组及成员，如管理队伍、专家队伍、救援队伍等迅速组织形成应急响应队伍，现场应急指挥部的总指挥应当到达现场</w:t>
      </w:r>
      <w:r>
        <w:rPr>
          <w:rFonts w:hint="eastAsia"/>
        </w:rPr>
        <w:t>，组织开展</w:t>
      </w:r>
      <w:r>
        <w:t>以下内容。</w:t>
      </w:r>
    </w:p>
    <w:p w14:paraId="61773388">
      <w:pPr>
        <w:outlineLvl w:val="4"/>
      </w:pPr>
      <w:r>
        <w:t>（1）下达启动水源地应急预案的命令</w:t>
      </w:r>
    </w:p>
    <w:p w14:paraId="23C94A83">
      <w:r>
        <w:t>（2）通知现场应急指挥部中的有关单位和人员做好应急准备，进入待命状态。</w:t>
      </w:r>
    </w:p>
    <w:p w14:paraId="69B01BFE">
      <w:r>
        <w:t>（3）通知董家峪水库水厂进入待命状态，做好</w:t>
      </w:r>
      <w:r>
        <w:rPr>
          <w:rFonts w:hint="eastAsia" w:ascii="Times New Roman" w:eastAsia="宋体"/>
          <w:lang w:val="en-US" w:eastAsia="zh-CN"/>
        </w:rPr>
        <w:t>水源保障</w:t>
      </w:r>
      <w:r>
        <w:t>、低压供水或启动备用水源等准备。</w:t>
      </w:r>
    </w:p>
    <w:p w14:paraId="4CC88DE6">
      <w:r>
        <w:t>（4）加强信息监控，核实突发环境事件污染来源、进入水体的污染物种类和总量、污染扩散范围等信息。</w:t>
      </w:r>
    </w:p>
    <w:p w14:paraId="3C3765EE">
      <w:r>
        <w:t>（5）开展应急监测或做好应急监测准备，对董家峪水库饮用水水源地和连接水体加强监测。</w:t>
      </w:r>
    </w:p>
    <w:p w14:paraId="74E51495">
      <w:r>
        <w:t>（6）做好事件信息上报和通报。</w:t>
      </w:r>
    </w:p>
    <w:p w14:paraId="76424E7B">
      <w:r>
        <w:t>（7）调集所需应急物资和设备，做好应急保障。</w:t>
      </w:r>
    </w:p>
    <w:p w14:paraId="2974A4A7">
      <w:r>
        <w:t>（8）在危险区域设置提示或者警告标志。</w:t>
      </w:r>
    </w:p>
    <w:p w14:paraId="3DBF0C3B">
      <w:r>
        <w:t>（9）必要时，及时通过媒体向公众发布信息。</w:t>
      </w:r>
    </w:p>
    <w:p w14:paraId="420EF698">
      <w:r>
        <w:t>（10）加强舆情监测、引导和应对工作。</w:t>
      </w:r>
    </w:p>
    <w:p w14:paraId="5C388349">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2</w:t>
      </w:r>
      <w:r>
        <w:rPr>
          <w:rFonts w:ascii="Cambria" w:hAnsi="Cambria" w:eastAsia="宋体" w:cs="Times New Roman"/>
          <w:b/>
          <w:bCs/>
          <w:kern w:val="2"/>
          <w:sz w:val="28"/>
          <w:szCs w:val="28"/>
          <w:lang w:val="en-US" w:eastAsia="zh-CN" w:bidi="ar-SA"/>
        </w:rPr>
        <w:t>.5预警解除</w:t>
      </w:r>
    </w:p>
    <w:p w14:paraId="6FAE7F0F">
      <w:r>
        <w:t>预警信息发布后，应急组织指挥机构可根据事态发展情况和采取措施的效果适时调整预警状态。当判断危险已经消除时，可由应急组织指挥机构宣布解除预警，终止已经采取的有关行动和措施。</w:t>
      </w:r>
    </w:p>
    <w:p w14:paraId="27E06C5B">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11" w:name="_Toc12486"/>
      <w:bookmarkStart w:id="112" w:name="_Toc12661"/>
      <w:bookmarkStart w:id="113" w:name="_Toc11585"/>
      <w:bookmarkStart w:id="114" w:name="_Toc11876"/>
      <w:bookmarkStart w:id="115" w:name="_Toc23623"/>
      <w:bookmarkStart w:id="116" w:name="_Toc10373"/>
      <w:bookmarkStart w:id="117" w:name="_Toc13447"/>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3</w:t>
      </w:r>
      <w:r>
        <w:rPr>
          <w:rFonts w:ascii="Times New Roman" w:hAnsi="Times New Roman" w:eastAsia="宋体" w:cs="Times New Roman"/>
          <w:b/>
          <w:bCs/>
          <w:kern w:val="2"/>
          <w:sz w:val="30"/>
          <w:szCs w:val="32"/>
          <w:lang w:val="en-US" w:eastAsia="zh-CN" w:bidi="ar-SA"/>
        </w:rPr>
        <w:t>信息报告与通报</w:t>
      </w:r>
      <w:bookmarkEnd w:id="111"/>
      <w:bookmarkEnd w:id="112"/>
      <w:bookmarkEnd w:id="113"/>
      <w:bookmarkEnd w:id="114"/>
      <w:bookmarkEnd w:id="115"/>
      <w:bookmarkEnd w:id="116"/>
      <w:bookmarkEnd w:id="117"/>
    </w:p>
    <w:p w14:paraId="2FCBA56E">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3</w:t>
      </w:r>
      <w:r>
        <w:rPr>
          <w:rFonts w:ascii="Cambria" w:hAnsi="Cambria" w:eastAsia="宋体" w:cs="Times New Roman"/>
          <w:b/>
          <w:bCs/>
          <w:kern w:val="2"/>
          <w:sz w:val="28"/>
          <w:szCs w:val="28"/>
          <w:lang w:val="en-US" w:eastAsia="zh-CN" w:bidi="ar-SA"/>
        </w:rPr>
        <w:t>.1信息报告程序</w:t>
      </w:r>
    </w:p>
    <w:p w14:paraId="44AA024D">
      <w:r>
        <w:t>应急组织指挥机构应设立24小时应急值班室，向社会公开应急电话，随时接报突发环境事件信息，</w:t>
      </w:r>
      <w:r>
        <w:rPr>
          <w:rFonts w:hint="eastAsia"/>
        </w:rPr>
        <w:t>及时</w:t>
      </w:r>
      <w:r>
        <w:t>做好下情上报，上情下达。</w:t>
      </w:r>
    </w:p>
    <w:p w14:paraId="693F8F1F">
      <w:r>
        <w:t>（1）发现已经造成或可能造成董家峪水库水源地污染的有关人员和责任单位，应按照有关规定立即</w:t>
      </w:r>
      <w:r>
        <w:rPr>
          <w:rFonts w:hint="eastAsia"/>
        </w:rPr>
        <w:t>向</w:t>
      </w:r>
      <w:r>
        <w:t>应急组织指挥机构及</w:t>
      </w:r>
      <w:r>
        <w:rPr>
          <w:rFonts w:hint="eastAsia"/>
          <w:lang w:eastAsia="zh-CN"/>
        </w:rPr>
        <w:t>市生态环境局武陵源分局</w:t>
      </w:r>
      <w:r>
        <w:t>等部门报告。</w:t>
      </w:r>
    </w:p>
    <w:p w14:paraId="64D86543">
      <w:r>
        <w:t>（2）武陵源区人民政府有关部门在发现或得知水源地突发环境事件信息后，应立即进行核实，了解有关情况。经过核实后，第一时间向应急组织指挥机构和张家界市人民政府主管部门报告。</w:t>
      </w:r>
    </w:p>
    <w:p w14:paraId="3B69602F">
      <w:r>
        <w:t>（3）张家界市人民政府主管部门先于武陵源区人民政府主管部门获悉水源地突发环境事件信息的，可要求武陵源区人民政府主管部门核实并报告相应信息。</w:t>
      </w:r>
    </w:p>
    <w:p w14:paraId="02BBAFC9">
      <w:r>
        <w:t>（4）特殊情况下，若遇到敏感事件或发生在重点地区、特殊时期，或可能演化为重大、特别重大突发环境事件的信息，有关责任单位和部门应立即向武陵源区人民政府应急组织指挥机构报告。</w:t>
      </w:r>
    </w:p>
    <w:p w14:paraId="0545A366">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3</w:t>
      </w:r>
      <w:r>
        <w:rPr>
          <w:rFonts w:ascii="Cambria" w:hAnsi="Cambria" w:eastAsia="宋体" w:cs="Times New Roman"/>
          <w:b/>
          <w:bCs/>
          <w:kern w:val="2"/>
          <w:sz w:val="28"/>
          <w:szCs w:val="28"/>
          <w:lang w:val="en-US" w:eastAsia="zh-CN" w:bidi="ar-SA"/>
        </w:rPr>
        <w:t>.2信息通报程序</w:t>
      </w:r>
    </w:p>
    <w:p w14:paraId="224C0DF0">
      <w:r>
        <w:t>对经核实的董家峪水库水源地突发环境事件，接报的有关部门应向武陵源区人民政府和有关部门通报。通报的部门至少应包括</w:t>
      </w:r>
      <w:r>
        <w:rPr>
          <w:rFonts w:hint="eastAsia"/>
        </w:rPr>
        <w:t>生态环境</w:t>
      </w:r>
      <w:r>
        <w:t>、供水管理（</w:t>
      </w:r>
      <w:r>
        <w:rPr>
          <w:rFonts w:hint="eastAsia"/>
        </w:rPr>
        <w:t>水厂、水利</w:t>
      </w:r>
      <w:r>
        <w:t>）、</w:t>
      </w:r>
      <w:r>
        <w:rPr>
          <w:rFonts w:hint="eastAsia"/>
        </w:rPr>
        <w:t>卫健</w:t>
      </w:r>
      <w:r>
        <w:t>等部门；根据水源地突发环境事件的类型和情景，还应通报消防（遇火灾爆炸）、交通（遇水上运输事故）、公安（遇火灾爆炸、道路运输事故）、农业（遇大面积死鱼）等部门。</w:t>
      </w:r>
    </w:p>
    <w:p w14:paraId="194F92A8">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3</w:t>
      </w:r>
      <w:r>
        <w:rPr>
          <w:rFonts w:ascii="Cambria" w:hAnsi="Cambria" w:eastAsia="宋体" w:cs="Times New Roman"/>
          <w:b/>
          <w:bCs/>
          <w:kern w:val="2"/>
          <w:sz w:val="28"/>
          <w:szCs w:val="28"/>
          <w:lang w:val="en-US" w:eastAsia="zh-CN" w:bidi="ar-SA"/>
        </w:rPr>
        <w:t>.3信息报告和通报内容</w:t>
      </w:r>
    </w:p>
    <w:p w14:paraId="2C1C7B00">
      <w:r>
        <w:t>按照不同的时间节点，董家峪水库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14:paraId="65FDE26C">
      <w:r>
        <w:t>（1）初报应报告水源地突发环境事件的发生时间、地点、信息来源、事件起因和性质、基本过程、主要污染物和数量、监测结果、人员伤亡情况、水源地受影响情况、事件发展趋势、处置情况、拟</w:t>
      </w:r>
      <w:r>
        <w:rPr>
          <w:rFonts w:hint="eastAsia"/>
        </w:rPr>
        <w:t>采取</w:t>
      </w:r>
      <w:r>
        <w:t>的措施以及下一步工作建议等初步情况。</w:t>
      </w:r>
    </w:p>
    <w:p w14:paraId="6BF36E39">
      <w:r>
        <w:t>（2）续报应在初报的基础上，报告事件及有关处置措施的进展情况。</w:t>
      </w:r>
    </w:p>
    <w:p w14:paraId="4D9D8A27">
      <w:r>
        <w:t>（3）处理结果报告应在初报、续报的基础上，报告突发环境事件的处置措施、过程和结果等详细情况。</w:t>
      </w:r>
    </w:p>
    <w:p w14:paraId="38F74A00">
      <w:r>
        <w:t>（4）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p>
    <w:p w14:paraId="311FA9DD">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18" w:name="_Toc20516"/>
      <w:bookmarkStart w:id="119" w:name="_Toc7963"/>
      <w:bookmarkStart w:id="120" w:name="_Toc5594"/>
      <w:bookmarkStart w:id="121" w:name="_Toc8307"/>
      <w:bookmarkStart w:id="122" w:name="_Toc6459"/>
      <w:bookmarkStart w:id="123" w:name="_Toc30389"/>
      <w:bookmarkStart w:id="124" w:name="_Toc24699"/>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4</w:t>
      </w:r>
      <w:r>
        <w:rPr>
          <w:rFonts w:ascii="Times New Roman" w:hAnsi="Times New Roman" w:eastAsia="宋体" w:cs="Times New Roman"/>
          <w:b/>
          <w:bCs/>
          <w:kern w:val="2"/>
          <w:sz w:val="30"/>
          <w:szCs w:val="32"/>
          <w:lang w:val="en-US" w:eastAsia="zh-CN" w:bidi="ar-SA"/>
        </w:rPr>
        <w:t>事态研判</w:t>
      </w:r>
      <w:bookmarkEnd w:id="118"/>
      <w:bookmarkEnd w:id="119"/>
      <w:bookmarkEnd w:id="120"/>
      <w:bookmarkEnd w:id="121"/>
      <w:bookmarkEnd w:id="122"/>
      <w:bookmarkEnd w:id="123"/>
      <w:bookmarkEnd w:id="124"/>
    </w:p>
    <w:p w14:paraId="2A9FFAC3">
      <w:r>
        <w:t>发布预警后，由现场应急指挥部总指挥按照水源地应急预案中列明的副总指挥、协调办公室、专项工作组成员及名单，迅速组建参加应急指挥的各个工作组，跟踪开展事态研判。</w:t>
      </w:r>
    </w:p>
    <w:p w14:paraId="3BC38E2C">
      <w:r>
        <w:t>事态研判包括以下内容：事故点下游沿河水利设施工程情况、判断污染物进入水库的数量及种类性质、事故点下游水系分布（包括清洁水情况）、距离水源地取水口的距离和可能对水源地造成的危害，以及备用水源地情况。</w:t>
      </w:r>
    </w:p>
    <w:p w14:paraId="09649BB3">
      <w:r>
        <w:t>事态研判的结果，应作为制定和动态调整应急响应有关方案、实施应急监测、污染源排查与处置和应急处置的重要基础。</w:t>
      </w:r>
    </w:p>
    <w:p w14:paraId="63DC9072">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25" w:name="_Toc23110"/>
      <w:bookmarkStart w:id="126" w:name="_Toc30063"/>
      <w:bookmarkStart w:id="127" w:name="_Toc17275"/>
      <w:bookmarkStart w:id="128" w:name="_Toc32384"/>
      <w:bookmarkStart w:id="129" w:name="_Toc11581"/>
      <w:bookmarkStart w:id="130" w:name="_Toc22962"/>
      <w:bookmarkStart w:id="131" w:name="_Toc3996"/>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5</w:t>
      </w:r>
      <w:r>
        <w:rPr>
          <w:rFonts w:ascii="Times New Roman" w:hAnsi="Times New Roman" w:eastAsia="宋体" w:cs="Times New Roman"/>
          <w:b/>
          <w:bCs/>
          <w:kern w:val="2"/>
          <w:sz w:val="30"/>
          <w:szCs w:val="32"/>
          <w:lang w:val="en-US" w:eastAsia="zh-CN" w:bidi="ar-SA"/>
        </w:rPr>
        <w:t>应急监测</w:t>
      </w:r>
      <w:bookmarkEnd w:id="125"/>
      <w:bookmarkEnd w:id="126"/>
      <w:bookmarkEnd w:id="127"/>
      <w:bookmarkEnd w:id="128"/>
      <w:bookmarkEnd w:id="129"/>
      <w:bookmarkEnd w:id="130"/>
      <w:bookmarkEnd w:id="131"/>
    </w:p>
    <w:p w14:paraId="4D42CC7A">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5</w:t>
      </w:r>
      <w:r>
        <w:rPr>
          <w:rFonts w:ascii="Cambria" w:hAnsi="Cambria" w:eastAsia="宋体" w:cs="Times New Roman"/>
          <w:b/>
          <w:bCs/>
          <w:kern w:val="2"/>
          <w:sz w:val="28"/>
          <w:szCs w:val="28"/>
          <w:lang w:val="en-US" w:eastAsia="zh-CN" w:bidi="ar-SA"/>
        </w:rPr>
        <w:t>.1开展应急监测程序</w:t>
      </w:r>
    </w:p>
    <w:p w14:paraId="3C5C22F1">
      <w:r>
        <w:t>武陵源区环境监测站负责组织、实施、协调董家峪水库饮用水源</w:t>
      </w:r>
      <w:r>
        <w:rPr>
          <w:rFonts w:hint="eastAsia"/>
        </w:rPr>
        <w:t>地</w:t>
      </w:r>
      <w:r>
        <w:t>突发环境事件的环境应急监测工作，当超过区环境监测站监测能力时，应及时向张家界市环境监测中心站或省级环境监测站请求协助。</w:t>
      </w:r>
    </w:p>
    <w:p w14:paraId="5FCB9806">
      <w:r>
        <w:t>依据现场实地调查，董家峪水库集雨范围面积较小（5.79km</w:t>
      </w:r>
      <w:r>
        <w:rPr>
          <w:rFonts w:hint="eastAsia"/>
          <w:vertAlign w:val="superscript"/>
        </w:rPr>
        <w:t>2</w:t>
      </w:r>
      <w:r>
        <w:t>），设置应急监测点位</w:t>
      </w:r>
      <w:r>
        <w:rPr>
          <w:rFonts w:hint="eastAsia" w:ascii="Times New Roman" w:eastAsia="宋体"/>
          <w:lang w:val="en-US" w:eastAsia="zh-CN"/>
        </w:rPr>
        <w:t>2</w:t>
      </w:r>
      <w:r>
        <w:t>个：供水水厂取水口应急监测</w:t>
      </w:r>
      <w:r>
        <w:rPr>
          <w:rFonts w:hint="eastAsia" w:ascii="Times New Roman" w:eastAsia="宋体"/>
          <w:lang w:val="en-US" w:eastAsia="zh-CN"/>
        </w:rPr>
        <w:t>以及一级保护区与二级保护区边界监测点</w:t>
      </w:r>
      <w:r>
        <w:t>；</w:t>
      </w:r>
      <w:r>
        <w:rPr>
          <w:rFonts w:hint="eastAsia"/>
        </w:rPr>
        <w:t>其他地区可</w:t>
      </w:r>
      <w:r>
        <w:t>根据污染类型及污染源位置增设应急监测点位。供水水厂取水口应急监测</w:t>
      </w:r>
      <w:r>
        <w:rPr>
          <w:rFonts w:hint="eastAsia"/>
        </w:rPr>
        <w:t>点位见下图。</w:t>
      </w:r>
    </w:p>
    <w:p w14:paraId="2814B1D1">
      <w:pPr>
        <w:ind w:firstLine="0" w:firstLineChars="0"/>
        <w:jc w:val="center"/>
      </w:pPr>
      <w:r>
        <w:drawing>
          <wp:inline distT="0" distB="0" distL="114300" distR="114300">
            <wp:extent cx="5614035" cy="3284220"/>
            <wp:effectExtent l="0" t="0" r="571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9"/>
                    <a:stretch>
                      <a:fillRect/>
                    </a:stretch>
                  </pic:blipFill>
                  <pic:spPr>
                    <a:xfrm>
                      <a:off x="0" y="0"/>
                      <a:ext cx="5614035" cy="3284220"/>
                    </a:xfrm>
                    <a:prstGeom prst="rect">
                      <a:avLst/>
                    </a:prstGeom>
                    <a:noFill/>
                    <a:ln>
                      <a:noFill/>
                    </a:ln>
                  </pic:spPr>
                </pic:pic>
              </a:graphicData>
            </a:graphic>
          </wp:inline>
        </w:drawing>
      </w:r>
    </w:p>
    <w:p w14:paraId="64816548">
      <w:pPr>
        <w:ind w:firstLine="0" w:firstLineChars="0"/>
        <w:jc w:val="center"/>
        <w:rPr>
          <w:sz w:val="24"/>
          <w:szCs w:val="24"/>
        </w:rPr>
      </w:pPr>
      <w:r>
        <w:rPr>
          <w:sz w:val="24"/>
          <w:szCs w:val="24"/>
        </w:rPr>
        <w:t>图3</w:t>
      </w:r>
      <w:r>
        <w:rPr>
          <w:rFonts w:hint="eastAsia"/>
          <w:sz w:val="24"/>
          <w:szCs w:val="24"/>
        </w:rPr>
        <w:t>.5</w:t>
      </w:r>
      <w:r>
        <w:rPr>
          <w:sz w:val="24"/>
          <w:szCs w:val="24"/>
        </w:rPr>
        <w:t>-1应急监测点位</w:t>
      </w:r>
    </w:p>
    <w:p w14:paraId="50A25C26">
      <w:r>
        <w:t>应急监测的频次根据事故发生的时间而有所变化，根据污染物的状况，在事发初期应当增加频次，1小时采样一次；待摸清污染规律后可适当减少，6小时一次；应急终止后可24小时一次进行取样，至影响完全消除后方可停止取样。</w:t>
      </w:r>
    </w:p>
    <w:p w14:paraId="72357725">
      <w:r>
        <w:t>事件处置中期，应根据事态发展，如上游来水量、应急处置措施效果等情况，适时调整</w:t>
      </w:r>
      <w:r>
        <w:rPr>
          <w:rFonts w:hint="eastAsia"/>
        </w:rPr>
        <w:t>监测点</w:t>
      </w:r>
      <w:r>
        <w:t>位（断面）和监测频次。</w:t>
      </w:r>
    </w:p>
    <w:p w14:paraId="78EB5AD1">
      <w:r>
        <w:t>事件处置末期，应按照现场应急指挥部命令，停止应急监测，并向现场应急指挥部提交应急监测总结报告。</w:t>
      </w:r>
    </w:p>
    <w:p w14:paraId="3EDF9C2F">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5</w:t>
      </w:r>
      <w:r>
        <w:rPr>
          <w:rFonts w:ascii="Cambria" w:hAnsi="Cambria" w:eastAsia="宋体" w:cs="Times New Roman"/>
          <w:b/>
          <w:bCs/>
          <w:kern w:val="2"/>
          <w:sz w:val="28"/>
          <w:szCs w:val="28"/>
          <w:lang w:val="en-US" w:eastAsia="zh-CN" w:bidi="ar-SA"/>
        </w:rPr>
        <w:t>.2制定应急监测方案</w:t>
      </w:r>
    </w:p>
    <w:p w14:paraId="26FEDFF3">
      <w:r>
        <w:t>应急监测重点是抓住污染带前锋、峰值位置和浓度变化，对污染带移动过程形成动态监控。当污染来源不明时，应先通过应急监测确定特征污染物</w:t>
      </w:r>
      <w:r>
        <w:rPr>
          <w:rFonts w:hint="eastAsia"/>
        </w:rPr>
        <w:t>成分</w:t>
      </w:r>
      <w:r>
        <w:t>，再进行污染源排查和先期处置。</w:t>
      </w:r>
    </w:p>
    <w:p w14:paraId="26E5FFB8">
      <w:r>
        <w:t>应急监测原则和注意事项包括以下内容：</w:t>
      </w:r>
    </w:p>
    <w:p w14:paraId="32DEFFD9">
      <w:r>
        <w:t>（1）监测范围。应尽量涵盖董家峪水库突发环境事件的污染范围，并包括事件可能影响区域和污染物本底浓度的监测区域。</w:t>
      </w:r>
    </w:p>
    <w:p w14:paraId="7E31B878">
      <w:r>
        <w:t>（2）监测布点和频次。以突发环境事件发生地点为中心或源头，结合水文和气象条件，在其扩散方向及可能受到影响的水源地位置合理布点，必要时在事故影响区域内水源取水口处设置监测点位（断面）。应</w:t>
      </w:r>
      <w:r>
        <w:rPr>
          <w:rFonts w:hint="eastAsia"/>
        </w:rPr>
        <w:t>采取</w:t>
      </w:r>
      <w:r>
        <w:t>不同点位（断面）相同间隔时间（一般为1小时）同步采样监测方式，动态监控污染带移动过程。</w:t>
      </w:r>
    </w:p>
    <w:p w14:paraId="6AAD27CB">
      <w:r>
        <w:t>①针对</w:t>
      </w:r>
      <w:r>
        <w:rPr>
          <w:rFonts w:hint="eastAsia" w:ascii="Times New Roman" w:eastAsia="宋体"/>
          <w:lang w:val="en-US" w:eastAsia="zh-CN"/>
        </w:rPr>
        <w:t>暴雨</w:t>
      </w:r>
      <w:r>
        <w:t>突发环境事件，应对事发区域下游水域、下游水源地附近进行加密跟踪监测。</w:t>
      </w:r>
    </w:p>
    <w:p w14:paraId="0E508BCB">
      <w:r>
        <w:t>②水华灾害突发事件若发生在一级、二级保护区范围，应对取水口不同水层进行加密跟踪监测。</w:t>
      </w:r>
    </w:p>
    <w:p w14:paraId="251025FD">
      <w:r>
        <w:t>（3）现场采样。应制定采样计划和准备采样器材。采样量应同时满足快速</w:t>
      </w:r>
      <w:r>
        <w:rPr>
          <w:rFonts w:hint="eastAsia"/>
        </w:rPr>
        <w:t>检测</w:t>
      </w:r>
      <w:r>
        <w:t>、实验室</w:t>
      </w:r>
      <w:r>
        <w:rPr>
          <w:rFonts w:hint="eastAsia"/>
        </w:rPr>
        <w:t>检测</w:t>
      </w:r>
      <w:r>
        <w:t>和留样的需要。采样频次应考虑污染程度和现场水文条件，按照应急专家组的意见确定。</w:t>
      </w:r>
    </w:p>
    <w:p w14:paraId="3D23477E">
      <w:r>
        <w:t>（4）</w:t>
      </w:r>
      <w:r>
        <w:rPr>
          <w:rFonts w:hint="eastAsia"/>
        </w:rPr>
        <w:t>检测</w:t>
      </w:r>
      <w:r>
        <w:t>项目。通过现场信息收集、信息研判、代表性样品分析等途径，确定主要污染物及监测项目</w:t>
      </w:r>
      <w:r>
        <w:rPr>
          <w:rFonts w:hint="eastAsia"/>
        </w:rPr>
        <w:t>（</w:t>
      </w:r>
      <w:r>
        <w:t>固体悬浮物浓度SS</w:t>
      </w:r>
      <w:r>
        <w:rPr>
          <w:rFonts w:hint="eastAsia"/>
        </w:rPr>
        <w:t>）、PH、溶解氧、藻密度、叶绿素a等）</w:t>
      </w:r>
      <w:r>
        <w:t>。监测项目应考虑主要污染物在环境中可能产生的化学反应、衍生成其他有毒有害物质，有条件的地区可同时开展水生生物指标的监测，为后期损害评估提供第一手资料。</w:t>
      </w:r>
    </w:p>
    <w:p w14:paraId="6443A774">
      <w:r>
        <w:t>（5）分析方法。具备现场</w:t>
      </w:r>
      <w:r>
        <w:rPr>
          <w:rFonts w:hint="eastAsia"/>
        </w:rPr>
        <w:t>检</w:t>
      </w:r>
      <w:r>
        <w:t>测条件的</w:t>
      </w:r>
      <w:r>
        <w:rPr>
          <w:rFonts w:hint="eastAsia"/>
        </w:rPr>
        <w:t>检测</w:t>
      </w:r>
      <w:r>
        <w:rPr>
          <w:rFonts w:hint="eastAsia"/>
          <w:lang w:eastAsia="zh-CN"/>
        </w:rPr>
        <w:t>项目</w:t>
      </w:r>
      <w:r>
        <w:t>应尽量在现场</w:t>
      </w:r>
      <w:r>
        <w:rPr>
          <w:rFonts w:hint="eastAsia"/>
        </w:rPr>
        <w:t>检</w:t>
      </w:r>
      <w:r>
        <w:t>测。必要时，备份样品送实验室</w:t>
      </w:r>
      <w:r>
        <w:rPr>
          <w:rFonts w:hint="eastAsia"/>
        </w:rPr>
        <w:t>检</w:t>
      </w:r>
      <w:r>
        <w:t>（复）测，以确认现场定性或定量</w:t>
      </w:r>
      <w:r>
        <w:rPr>
          <w:rFonts w:hint="eastAsia"/>
        </w:rPr>
        <w:t>检测</w:t>
      </w:r>
      <w:r>
        <w:t>结果的准确性。</w:t>
      </w:r>
    </w:p>
    <w:p w14:paraId="3C757339">
      <w:r>
        <w:t>（6）</w:t>
      </w:r>
      <w:r>
        <w:rPr>
          <w:rFonts w:hint="eastAsia"/>
        </w:rPr>
        <w:t>检</w:t>
      </w:r>
      <w:r>
        <w:t>测结果与数据报告。应按照有关</w:t>
      </w:r>
      <w:r>
        <w:rPr>
          <w:rFonts w:hint="eastAsia"/>
        </w:rPr>
        <w:t>检测</w:t>
      </w:r>
      <w:r>
        <w:t>技术规范进行数据处理。</w:t>
      </w:r>
      <w:r>
        <w:rPr>
          <w:rFonts w:hint="eastAsia"/>
        </w:rPr>
        <w:t>检测</w:t>
      </w:r>
      <w:r>
        <w:t>结果可用定性、半定量或定量方式报出。</w:t>
      </w:r>
      <w:r>
        <w:rPr>
          <w:rFonts w:hint="eastAsia"/>
        </w:rPr>
        <w:t>检</w:t>
      </w:r>
      <w:r>
        <w:t>测结果可采用电话、传真、快报、简报、</w:t>
      </w:r>
      <w:r>
        <w:rPr>
          <w:rFonts w:hint="eastAsia"/>
        </w:rPr>
        <w:t>检</w:t>
      </w:r>
      <w:r>
        <w:t>测报告等形式第一时间报告现场应急指挥部。</w:t>
      </w:r>
    </w:p>
    <w:p w14:paraId="1DBD8A62">
      <w:r>
        <w:t>（7）检测数据的质量保证。应急</w:t>
      </w:r>
      <w:r>
        <w:rPr>
          <w:rFonts w:hint="eastAsia"/>
        </w:rPr>
        <w:t>检测</w:t>
      </w:r>
      <w:r>
        <w:t>过程中的样品采集、现场</w:t>
      </w:r>
      <w:r>
        <w:rPr>
          <w:rFonts w:hint="eastAsia"/>
        </w:rPr>
        <w:t>检</w:t>
      </w:r>
      <w:r>
        <w:t>测、实验室</w:t>
      </w:r>
      <w:r>
        <w:rPr>
          <w:rFonts w:hint="eastAsia"/>
        </w:rPr>
        <w:t>检</w:t>
      </w:r>
      <w:r>
        <w:t>测、数据统计等环节，都应有质量控制措施，并对应急</w:t>
      </w:r>
      <w:r>
        <w:rPr>
          <w:rFonts w:hint="eastAsia"/>
        </w:rPr>
        <w:t>检</w:t>
      </w:r>
      <w:r>
        <w:t>测报告实行三级审核。</w:t>
      </w:r>
    </w:p>
    <w:p w14:paraId="0D10035B">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32" w:name="_Toc30624"/>
      <w:bookmarkStart w:id="133" w:name="_Toc26581"/>
      <w:bookmarkStart w:id="134" w:name="_Toc5163"/>
      <w:bookmarkStart w:id="135" w:name="_Toc19334"/>
      <w:bookmarkStart w:id="136" w:name="_Toc21884"/>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6污染源排查与处置</w:t>
      </w:r>
      <w:bookmarkEnd w:id="132"/>
      <w:bookmarkEnd w:id="133"/>
      <w:bookmarkEnd w:id="134"/>
      <w:bookmarkEnd w:id="135"/>
      <w:bookmarkEnd w:id="136"/>
    </w:p>
    <w:p w14:paraId="5050475E">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6</w:t>
      </w:r>
      <w:r>
        <w:rPr>
          <w:rFonts w:ascii="Cambria" w:hAnsi="Cambria" w:eastAsia="宋体" w:cs="Times New Roman"/>
          <w:b/>
          <w:bCs/>
          <w:kern w:val="2"/>
          <w:sz w:val="28"/>
          <w:szCs w:val="28"/>
          <w:lang w:val="en-US" w:eastAsia="zh-CN" w:bidi="ar-SA"/>
        </w:rPr>
        <w:t>.1</w:t>
      </w:r>
      <w:r>
        <w:rPr>
          <w:rFonts w:hint="eastAsia" w:ascii="Cambria" w:hAnsi="Cambria" w:eastAsia="宋体" w:cs="Times New Roman"/>
          <w:b/>
          <w:bCs/>
          <w:kern w:val="2"/>
          <w:sz w:val="28"/>
          <w:szCs w:val="28"/>
          <w:lang w:val="en-US" w:eastAsia="zh-CN" w:bidi="ar-SA"/>
        </w:rPr>
        <w:t>明确排查对象</w:t>
      </w:r>
    </w:p>
    <w:p w14:paraId="504C66F7">
      <w:r>
        <w:rPr>
          <w:rFonts w:hint="eastAsia"/>
        </w:rPr>
        <w:t>根据董家峪污染源调查结果，董家峪保护区内无固定污染源、流动污染源、非点源污染等情况，因此无重点排查对象。仅需考虑陆域上游丢弃污染物等。</w:t>
      </w:r>
    </w:p>
    <w:p w14:paraId="3365E9DB">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6</w:t>
      </w:r>
      <w:r>
        <w:rPr>
          <w:rFonts w:ascii="Cambria" w:hAnsi="Cambria" w:eastAsia="宋体" w:cs="Times New Roman"/>
          <w:b/>
          <w:bCs/>
          <w:kern w:val="2"/>
          <w:sz w:val="28"/>
          <w:szCs w:val="28"/>
          <w:lang w:val="en-US" w:eastAsia="zh-CN" w:bidi="ar-SA"/>
        </w:rPr>
        <w:t>.</w:t>
      </w:r>
      <w:r>
        <w:rPr>
          <w:rFonts w:hint="eastAsia" w:ascii="Cambria" w:hAnsi="Cambria" w:eastAsia="宋体" w:cs="Times New Roman"/>
          <w:b/>
          <w:bCs/>
          <w:kern w:val="2"/>
          <w:sz w:val="28"/>
          <w:szCs w:val="28"/>
          <w:lang w:val="en-US" w:eastAsia="zh-CN" w:bidi="ar-SA"/>
        </w:rPr>
        <w:t>2切断污染源</w:t>
      </w:r>
    </w:p>
    <w:p w14:paraId="7B2A4EE1">
      <w:r>
        <w:t>启动应急收集系统集中收集陆域污染物，设立拦截设施防止污染物在陆域</w:t>
      </w:r>
      <w:r>
        <w:rPr>
          <w:rFonts w:hint="eastAsia"/>
        </w:rPr>
        <w:t>蔓延</w:t>
      </w:r>
      <w:r>
        <w:t>，组织有关部门对污染物进行回收处置</w:t>
      </w:r>
      <w:r>
        <w:rPr>
          <w:rFonts w:hint="eastAsia"/>
        </w:rPr>
        <w:t>。</w:t>
      </w:r>
    </w:p>
    <w:p w14:paraId="52C82E61">
      <w:r>
        <w:t>根据现场事态发展对扩散至水体的污染物进行处置</w:t>
      </w:r>
      <w:r>
        <w:rPr>
          <w:rFonts w:hint="eastAsia"/>
        </w:rPr>
        <w:t>。</w:t>
      </w:r>
    </w:p>
    <w:p w14:paraId="62EBD1AA">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37" w:name="_Toc29518"/>
      <w:bookmarkStart w:id="138" w:name="_Toc29316"/>
      <w:bookmarkStart w:id="139" w:name="_Toc8085"/>
      <w:bookmarkStart w:id="140" w:name="_Toc1844"/>
      <w:bookmarkStart w:id="141" w:name="_Toc1229"/>
      <w:bookmarkStart w:id="142" w:name="_Toc11842"/>
      <w:bookmarkStart w:id="143" w:name="_Toc14037"/>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7</w:t>
      </w:r>
      <w:r>
        <w:rPr>
          <w:rFonts w:ascii="Times New Roman" w:hAnsi="Times New Roman" w:eastAsia="宋体" w:cs="Times New Roman"/>
          <w:b/>
          <w:bCs/>
          <w:kern w:val="2"/>
          <w:sz w:val="30"/>
          <w:szCs w:val="32"/>
          <w:lang w:val="en-US" w:eastAsia="zh-CN" w:bidi="ar-SA"/>
        </w:rPr>
        <w:t>应急处置</w:t>
      </w:r>
      <w:bookmarkEnd w:id="137"/>
      <w:bookmarkEnd w:id="138"/>
      <w:bookmarkEnd w:id="139"/>
      <w:bookmarkEnd w:id="140"/>
      <w:bookmarkEnd w:id="141"/>
      <w:bookmarkEnd w:id="142"/>
      <w:bookmarkEnd w:id="143"/>
    </w:p>
    <w:p w14:paraId="13CCDDEA">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bookmarkStart w:id="144" w:name="_Toc519157641"/>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7</w:t>
      </w:r>
      <w:r>
        <w:rPr>
          <w:rFonts w:ascii="Cambria" w:hAnsi="Cambria" w:eastAsia="宋体" w:cs="Times New Roman"/>
          <w:b/>
          <w:bCs/>
          <w:kern w:val="2"/>
          <w:sz w:val="28"/>
          <w:szCs w:val="28"/>
          <w:lang w:val="en-US" w:eastAsia="zh-CN" w:bidi="ar-SA"/>
        </w:rPr>
        <w:t>.1应急处置概述</w:t>
      </w:r>
      <w:bookmarkEnd w:id="144"/>
    </w:p>
    <w:p w14:paraId="0026DAB9">
      <w:r>
        <w:t>在董家峪水库饮用水水源地应急措施启动后，综治办上报应急总指挥，并立即召集相关部门组成应急指挥部，根据不同事件情景下制定相应的现场处置方案，对相关部门进行应急处置的分工，协调指挥。</w:t>
      </w:r>
    </w:p>
    <w:p w14:paraId="2D63A0DB">
      <w:r>
        <w:t>首先调取风险源名录、应急物资清单、应急工程设施清单及可能建设应急工程的方案、处置技术资料和饮用水水源地应急预案及相关衔接预案等信息资料。专项工作组要根据专家组的意见，结合水质监测结果，通过事态研判，制定相应的现场应急处置方案。根据污染特征，饮用水水源地突发环境事故的污染处置措施：</w:t>
      </w:r>
    </w:p>
    <w:p w14:paraId="4774DF42">
      <w:pPr>
        <w:outlineLvl w:val="4"/>
      </w:pPr>
      <w:r>
        <w:t>（1）切断污染源头</w:t>
      </w:r>
    </w:p>
    <w:p w14:paraId="7D093D35">
      <w:r>
        <w:t>督促指导责任单位</w:t>
      </w:r>
      <w:r>
        <w:rPr>
          <w:rFonts w:hint="eastAsia"/>
        </w:rPr>
        <w:t>或</w:t>
      </w:r>
      <w:r>
        <w:t>责任人及时切断污染源头，防止危害扩大的同时。</w:t>
      </w:r>
    </w:p>
    <w:p w14:paraId="7FD600FD">
      <w:pPr>
        <w:outlineLvl w:val="4"/>
      </w:pPr>
      <w:r>
        <w:t>（2）控制污染水体</w:t>
      </w:r>
    </w:p>
    <w:p w14:paraId="0488BB40">
      <w:r>
        <w:t>在河道内修建拦污坝、节制闸等措施，拦截污染物；通过导流渠将未受污染的水体导流至污染水体下游，通过分流沟等将受污染水体疏导至安全区域等措施，全面控制污染范围。在汛期等特殊时期，还应充分考虑闸坝的安全性和防洪需要。</w:t>
      </w:r>
    </w:p>
    <w:p w14:paraId="0A89CB98">
      <w:pPr>
        <w:outlineLvl w:val="4"/>
      </w:pPr>
      <w:r>
        <w:t>（3）治理污染物</w:t>
      </w:r>
    </w:p>
    <w:p w14:paraId="0C7C2C4A">
      <w:r>
        <w:t>根据企业、专家等的意见制定综合治污方案，经指挥部确认后实施。对于水面污染物一般采取隔离、吸附、打捞、扰动等物理方法，氧化、沉淀等化学方法，投加菌群、利用湿地生物群消解等生物方法。不同的污染物治理可以根据地形地貌流域等特点采取一种或多种方式，在最短的时间内完成污染物的削减工作。全面监控并妥善处置治污载体，防止发生二次污染。</w:t>
      </w:r>
    </w:p>
    <w:p w14:paraId="0D422024">
      <w:r>
        <w:t>对于地面</w:t>
      </w:r>
      <w:r>
        <w:rPr>
          <w:rFonts w:hint="eastAsia"/>
        </w:rPr>
        <w:t>泄漏</w:t>
      </w:r>
      <w:r>
        <w:t>源，首先采用强行止漏法、疏散法和窒息吸附法控制</w:t>
      </w:r>
      <w:r>
        <w:rPr>
          <w:rFonts w:hint="eastAsia"/>
        </w:rPr>
        <w:t>泄漏</w:t>
      </w:r>
      <w:r>
        <w:t>源，控制</w:t>
      </w:r>
      <w:r>
        <w:rPr>
          <w:rFonts w:hint="eastAsia"/>
        </w:rPr>
        <w:t>泄漏</w:t>
      </w:r>
      <w:r>
        <w:t>源后可采取围堤堵截或挖掘沟槽收容</w:t>
      </w:r>
      <w:r>
        <w:rPr>
          <w:rFonts w:hint="eastAsia"/>
        </w:rPr>
        <w:t>泄漏</w:t>
      </w:r>
      <w:r>
        <w:t>物，覆盖减少泄漏物蒸发，稀释，吸附、中和、固化</w:t>
      </w:r>
      <w:r>
        <w:rPr>
          <w:rFonts w:hint="eastAsia"/>
          <w:lang w:eastAsia="zh-CN"/>
        </w:rPr>
        <w:t>泄漏</w:t>
      </w:r>
      <w:r>
        <w:t>物，并最终进行污染物收集。</w:t>
      </w:r>
    </w:p>
    <w:p w14:paraId="7657E01F">
      <w:r>
        <w:t>（4）水华灾害突发事件应对。对于位于一级、二级水源保护区的水华发生区域，采取藻类打捞、物理遮光、围栏堵截等方式，减少和控制藻类生长和扩散。</w:t>
      </w:r>
    </w:p>
    <w:p w14:paraId="34881578">
      <w:pPr>
        <w:outlineLvl w:val="4"/>
      </w:pPr>
      <w:r>
        <w:t>（5）水厂应对措施</w:t>
      </w:r>
    </w:p>
    <w:p w14:paraId="125069F7">
      <w:r>
        <w:t>在应急监测或事态研判过程中，发现或判定污染物已扩散至饮用水水源地，应急组织指挥机构立即协调指挥水厂应急负责人，针对不同事件类型，采取</w:t>
      </w:r>
      <w:r>
        <w:rPr>
          <w:rFonts w:hint="eastAsia" w:ascii="Times New Roman" w:eastAsia="宋体"/>
          <w:lang w:val="en-US" w:eastAsia="zh-CN"/>
        </w:rPr>
        <w:t>改善工艺</w:t>
      </w:r>
      <w:r>
        <w:t>，或改由索溪水库供水（索溪水库级董家峪水库已联网供水），并加强事故泄漏污染物监测，保障居民供水安全，同时水厂应急负责人应及时</w:t>
      </w:r>
      <w:r>
        <w:rPr>
          <w:rFonts w:hint="eastAsia"/>
        </w:rPr>
        <w:t>地</w:t>
      </w:r>
      <w:r>
        <w:t>将监测信息反馈到应急组织指挥部。</w:t>
      </w:r>
    </w:p>
    <w:p w14:paraId="6D0836D6">
      <w:pPr>
        <w:outlineLvl w:val="4"/>
        <w:rPr>
          <w:rFonts w:hint="default" w:eastAsia="宋体"/>
          <w:lang w:val="en-US" w:eastAsia="zh-CN"/>
        </w:rPr>
      </w:pPr>
      <w:r>
        <w:t>（6）</w:t>
      </w:r>
      <w:r>
        <w:rPr>
          <w:rFonts w:hint="eastAsia" w:ascii="Times New Roman" w:eastAsia="宋体"/>
          <w:lang w:val="en-US" w:eastAsia="zh-CN"/>
        </w:rPr>
        <w:t>备用水源启动机制</w:t>
      </w:r>
    </w:p>
    <w:p w14:paraId="51096FF6">
      <w:r>
        <w:t>当水源已受到污染时，指挥部应全面启动水源地防控措施，增加监测布点和监测频次，采取隔离污水、治理污染、</w:t>
      </w:r>
      <w:r>
        <w:rPr>
          <w:rFonts w:hint="eastAsia" w:ascii="Times New Roman" w:eastAsia="宋体"/>
          <w:lang w:val="en-US" w:eastAsia="zh-CN"/>
        </w:rPr>
        <w:t>减少</w:t>
      </w:r>
      <w:r>
        <w:t>供水、启用备用水源等方法尽快消除污染威胁。通知下游供水企业采取</w:t>
      </w:r>
      <w:r>
        <w:rPr>
          <w:rFonts w:hint="eastAsia" w:ascii="Times New Roman" w:eastAsia="宋体"/>
          <w:lang w:val="en-US" w:eastAsia="zh-CN"/>
        </w:rPr>
        <w:t>相关</w:t>
      </w:r>
      <w:r>
        <w:t>保护措施。</w:t>
      </w:r>
    </w:p>
    <w:p w14:paraId="14F731BE">
      <w:r>
        <w:t>武陵源供水公司应启动取水、供水应急预案，通过加入洗消剂，用活性炭处理过高有机污染物等措施，尽量保障供水安全。根据政府指令减压</w:t>
      </w:r>
      <w:r>
        <w:rPr>
          <w:rFonts w:hint="eastAsia" w:ascii="Times New Roman" w:eastAsia="宋体"/>
          <w:lang w:val="en-US" w:eastAsia="zh-CN"/>
        </w:rPr>
        <w:t>供水</w:t>
      </w:r>
      <w:r>
        <w:t>，</w:t>
      </w:r>
      <w:r>
        <w:rPr>
          <w:rFonts w:hint="eastAsia" w:ascii="Times New Roman" w:eastAsia="宋体"/>
          <w:lang w:val="en-US" w:eastAsia="zh-CN"/>
        </w:rPr>
        <w:t>当减压供水不能满足居民日常需求情况下，</w:t>
      </w:r>
      <w:r>
        <w:t>应通过改路供水、启用备用水源措施</w:t>
      </w:r>
      <w:r>
        <w:rPr>
          <w:rFonts w:hint="eastAsia" w:eastAsia="宋体"/>
          <w:lang w:eastAsia="zh-CN"/>
        </w:rPr>
        <w:t>（</w:t>
      </w:r>
      <w:r>
        <w:rPr>
          <w:rFonts w:hint="eastAsia" w:ascii="Times New Roman" w:eastAsia="宋体"/>
          <w:lang w:val="en-US" w:eastAsia="zh-CN"/>
        </w:rPr>
        <w:t>索溪水厂供水，索溪水厂与董家峪水厂已并网</w:t>
      </w:r>
      <w:r>
        <w:rPr>
          <w:rFonts w:hint="eastAsia" w:eastAsia="宋体"/>
          <w:lang w:eastAsia="zh-CN"/>
        </w:rPr>
        <w:t>）</w:t>
      </w:r>
      <w:r>
        <w:t>，保障居民供水和社会经济活动的正常运转。</w:t>
      </w:r>
      <w:r>
        <w:rPr>
          <w:rFonts w:hint="eastAsia" w:ascii="Times New Roman" w:eastAsia="宋体"/>
          <w:lang w:val="en-US" w:eastAsia="zh-CN"/>
        </w:rPr>
        <w:t>武陵源</w:t>
      </w:r>
      <w:r>
        <w:t>政府应</w:t>
      </w:r>
      <w:r>
        <w:rPr>
          <w:rFonts w:hint="eastAsia" w:ascii="Times New Roman" w:eastAsia="宋体"/>
          <w:lang w:val="en-US" w:eastAsia="zh-CN"/>
        </w:rPr>
        <w:t>及时</w:t>
      </w:r>
      <w:r>
        <w:t>组织多渠道提供安全饮用水，并加大宣传和引导力度，避免群众恐慌心理。</w:t>
      </w:r>
    </w:p>
    <w:p w14:paraId="40C89B47">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7</w:t>
      </w:r>
      <w:r>
        <w:rPr>
          <w:rFonts w:ascii="Cambria" w:hAnsi="Cambria" w:eastAsia="宋体" w:cs="Times New Roman"/>
          <w:b/>
          <w:bCs/>
          <w:kern w:val="2"/>
          <w:sz w:val="28"/>
          <w:szCs w:val="28"/>
          <w:lang w:val="en-US" w:eastAsia="zh-CN" w:bidi="ar-SA"/>
        </w:rPr>
        <w:t>.2制定现场处置方案</w:t>
      </w:r>
    </w:p>
    <w:p w14:paraId="3085732B">
      <w:pPr>
        <w:keepNext/>
        <w:keepLines/>
        <w:widowControl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w:t>
      </w:r>
      <w:r>
        <w:rPr>
          <w:rFonts w:hint="eastAsia" w:ascii="Times New Roman" w:hAnsi="Times New Roman" w:eastAsia="宋体" w:cs="Times New Roman"/>
          <w:b/>
          <w:bCs/>
          <w:kern w:val="2"/>
          <w:sz w:val="28"/>
          <w:szCs w:val="28"/>
          <w:lang w:val="en-US" w:eastAsia="zh-CN" w:bidi="ar-SA"/>
        </w:rPr>
        <w:t>7</w:t>
      </w:r>
      <w:r>
        <w:rPr>
          <w:rFonts w:ascii="Times New Roman" w:hAnsi="Times New Roman" w:eastAsia="宋体" w:cs="Times New Roman"/>
          <w:b/>
          <w:bCs/>
          <w:kern w:val="2"/>
          <w:sz w:val="28"/>
          <w:szCs w:val="28"/>
          <w:lang w:val="en-US" w:eastAsia="zh-CN" w:bidi="ar-SA"/>
        </w:rPr>
        <w:t>.2.1处置流程</w:t>
      </w:r>
    </w:p>
    <w:p w14:paraId="6F1CA054">
      <w:pPr>
        <w:ind w:firstLine="0" w:firstLineChars="0"/>
        <w:jc w:val="center"/>
      </w:pPr>
      <w:r>
        <w:drawing>
          <wp:inline distT="0" distB="0" distL="114300" distR="114300">
            <wp:extent cx="4519930" cy="7867015"/>
            <wp:effectExtent l="0" t="0" r="0" b="0"/>
            <wp:docPr id="21" name="图片 21"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流程图"/>
                    <pic:cNvPicPr>
                      <a:picLocks noChangeAspect="1"/>
                    </pic:cNvPicPr>
                  </pic:nvPicPr>
                  <pic:blipFill>
                    <a:blip r:embed="rId10"/>
                    <a:stretch>
                      <a:fillRect/>
                    </a:stretch>
                  </pic:blipFill>
                  <pic:spPr>
                    <a:xfrm>
                      <a:off x="0" y="0"/>
                      <a:ext cx="4519930" cy="7867015"/>
                    </a:xfrm>
                    <a:prstGeom prst="rect">
                      <a:avLst/>
                    </a:prstGeom>
                  </pic:spPr>
                </pic:pic>
              </a:graphicData>
            </a:graphic>
          </wp:inline>
        </w:drawing>
      </w:r>
    </w:p>
    <w:p w14:paraId="6D96B0E8">
      <w:pPr>
        <w:ind w:firstLine="0" w:firstLineChars="0"/>
        <w:jc w:val="center"/>
        <w:rPr>
          <w:sz w:val="24"/>
          <w:szCs w:val="24"/>
        </w:rPr>
      </w:pPr>
      <w:bookmarkStart w:id="145" w:name="_Toc522803225"/>
      <w:r>
        <w:rPr>
          <w:sz w:val="24"/>
          <w:szCs w:val="24"/>
        </w:rPr>
        <w:t>图3</w:t>
      </w:r>
      <w:r>
        <w:rPr>
          <w:rFonts w:hint="eastAsia"/>
          <w:sz w:val="24"/>
          <w:szCs w:val="24"/>
        </w:rPr>
        <w:t>.7</w:t>
      </w:r>
      <w:r>
        <w:rPr>
          <w:sz w:val="24"/>
          <w:szCs w:val="24"/>
        </w:rPr>
        <w:t>-</w:t>
      </w:r>
      <w:r>
        <w:rPr>
          <w:rFonts w:hint="eastAsia"/>
          <w:sz w:val="24"/>
          <w:szCs w:val="24"/>
        </w:rPr>
        <w:t>1</w:t>
      </w:r>
      <w:r>
        <w:rPr>
          <w:sz w:val="24"/>
          <w:szCs w:val="24"/>
        </w:rPr>
        <w:t>应急</w:t>
      </w:r>
      <w:r>
        <w:rPr>
          <w:rFonts w:hint="eastAsia"/>
          <w:sz w:val="24"/>
          <w:szCs w:val="24"/>
        </w:rPr>
        <w:t>处置</w:t>
      </w:r>
      <w:r>
        <w:rPr>
          <w:sz w:val="24"/>
          <w:szCs w:val="24"/>
        </w:rPr>
        <w:t>流程图</w:t>
      </w:r>
      <w:bookmarkEnd w:id="145"/>
    </w:p>
    <w:p w14:paraId="17AF2621">
      <w:pPr>
        <w:keepNext/>
        <w:keepLines/>
        <w:widowControl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w:t>
      </w:r>
      <w:r>
        <w:rPr>
          <w:rFonts w:hint="eastAsia" w:ascii="Times New Roman" w:hAnsi="Times New Roman" w:eastAsia="宋体" w:cs="Times New Roman"/>
          <w:b/>
          <w:bCs/>
          <w:kern w:val="2"/>
          <w:sz w:val="28"/>
          <w:szCs w:val="28"/>
          <w:lang w:val="en-US" w:eastAsia="zh-CN" w:bidi="ar-SA"/>
        </w:rPr>
        <w:t>7</w:t>
      </w:r>
      <w:r>
        <w:rPr>
          <w:rFonts w:ascii="Times New Roman" w:hAnsi="Times New Roman" w:eastAsia="宋体" w:cs="Times New Roman"/>
          <w:b/>
          <w:bCs/>
          <w:kern w:val="2"/>
          <w:sz w:val="28"/>
          <w:szCs w:val="28"/>
          <w:lang w:val="en-US" w:eastAsia="zh-CN" w:bidi="ar-SA"/>
        </w:rPr>
        <w:t>.2.2突发流动源污染事故</w:t>
      </w:r>
    </w:p>
    <w:p w14:paraId="23F1146C">
      <w:r>
        <w:t>根据现场调查，董家峪水库保护区内无大型主要交通干线通过、穿越，不存在机动车辆通行及危险品运输情况，因此董家峪水库集雨区内不存在流动源污染。</w:t>
      </w:r>
    </w:p>
    <w:p w14:paraId="313D1D8F">
      <w:pPr>
        <w:keepNext/>
        <w:keepLines/>
        <w:widowControl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w:t>
      </w:r>
      <w:r>
        <w:rPr>
          <w:rFonts w:hint="eastAsia" w:ascii="Times New Roman" w:hAnsi="Times New Roman" w:eastAsia="宋体" w:cs="Times New Roman"/>
          <w:b/>
          <w:bCs/>
          <w:kern w:val="2"/>
          <w:sz w:val="28"/>
          <w:szCs w:val="28"/>
          <w:lang w:val="en-US" w:eastAsia="zh-CN" w:bidi="ar-SA"/>
        </w:rPr>
        <w:t>7</w:t>
      </w:r>
      <w:r>
        <w:rPr>
          <w:rFonts w:ascii="Times New Roman" w:hAnsi="Times New Roman" w:eastAsia="宋体" w:cs="Times New Roman"/>
          <w:b/>
          <w:bCs/>
          <w:kern w:val="2"/>
          <w:sz w:val="28"/>
          <w:szCs w:val="28"/>
          <w:lang w:val="en-US" w:eastAsia="zh-CN" w:bidi="ar-SA"/>
        </w:rPr>
        <w:t>.2.3突发非点源污染事故</w:t>
      </w:r>
    </w:p>
    <w:p w14:paraId="530A4163">
      <w:bookmarkStart w:id="146" w:name="_Toc513533946"/>
      <w:r>
        <w:t>根据现场调查，董家峪水库保护区内无常住居民、无农业面源污染、无规模化畜禽养殖场，</w:t>
      </w:r>
      <w:bookmarkEnd w:id="146"/>
      <w:r>
        <w:t>因此董家峪水库集雨区内</w:t>
      </w:r>
      <w:r>
        <w:rPr>
          <w:rFonts w:hint="eastAsia" w:ascii="Times New Roman" w:eastAsia="宋体"/>
          <w:lang w:val="en-US" w:eastAsia="zh-CN"/>
        </w:rPr>
        <w:t>无</w:t>
      </w:r>
      <w:r>
        <w:t>非点源污染。</w:t>
      </w:r>
    </w:p>
    <w:p w14:paraId="2B7C6B14">
      <w:pPr>
        <w:keepNext/>
        <w:keepLines/>
        <w:widowControl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w:t>
      </w:r>
      <w:r>
        <w:rPr>
          <w:rFonts w:hint="eastAsia" w:ascii="Times New Roman" w:hAnsi="Times New Roman" w:eastAsia="宋体" w:cs="Times New Roman"/>
          <w:b/>
          <w:bCs/>
          <w:kern w:val="2"/>
          <w:sz w:val="28"/>
          <w:szCs w:val="28"/>
          <w:lang w:val="en-US" w:eastAsia="zh-CN" w:bidi="ar-SA"/>
        </w:rPr>
        <w:t>7</w:t>
      </w:r>
      <w:r>
        <w:rPr>
          <w:rFonts w:ascii="Times New Roman" w:hAnsi="Times New Roman" w:eastAsia="宋体" w:cs="Times New Roman"/>
          <w:b/>
          <w:bCs/>
          <w:kern w:val="2"/>
          <w:sz w:val="28"/>
          <w:szCs w:val="28"/>
          <w:lang w:val="en-US" w:eastAsia="zh-CN" w:bidi="ar-SA"/>
        </w:rPr>
        <w:t>.2.4突发水华灾害事故</w:t>
      </w:r>
      <w:r>
        <w:rPr>
          <w:rFonts w:hint="eastAsia" w:ascii="Times New Roman" w:hAnsi="Times New Roman" w:eastAsia="宋体" w:cs="Times New Roman"/>
          <w:b/>
          <w:bCs/>
          <w:kern w:val="2"/>
          <w:sz w:val="28"/>
          <w:szCs w:val="28"/>
          <w:lang w:val="en-US" w:eastAsia="zh-CN" w:bidi="ar-SA"/>
        </w:rPr>
        <w:t>情景模拟</w:t>
      </w:r>
    </w:p>
    <w:p w14:paraId="4DDE3CB4">
      <w:r>
        <w:t>富营养化是一种氮、磷等植物营养物质含量过多所引起的水质污染现象。水体出现富营养化现象时，由于浮游生物大量繁殖，往往使水体呈现蓝色、红色、棕色、乳白色等，这些藻类有恶臭、有毒，鱼不能食用。藻类遮蔽阳光，使水底生植物因光合作用受到阻碍而死去，腐败后放出氮、磷等植物的营养物质，再供藻类利用。这样年深月久，造成恶性循环，藻类大量繁殖，水质恶化而有腥臭，水中缺氧，造成鱼类窒息死亡。若</w:t>
      </w:r>
      <w:r>
        <w:rPr>
          <w:rFonts w:hint="eastAsia"/>
        </w:rPr>
        <w:t>水华暴发</w:t>
      </w:r>
      <w:r>
        <w:t>处理不当或不及时，则会造成水体污染，影响董家峪水库的饮用水取水及供水安全。</w:t>
      </w:r>
    </w:p>
    <w:p w14:paraId="5318463F">
      <w:r>
        <w:rPr>
          <w:rFonts w:hint="eastAsia"/>
        </w:rPr>
        <w:t>当</w:t>
      </w:r>
      <w:r>
        <w:t>董家峪水库库区水面由于富营养化，造成藻类大面积快速繁殖，导致董家峪水库水质变差。</w:t>
      </w:r>
    </w:p>
    <w:p w14:paraId="6A389D76">
      <w:r>
        <w:rPr>
          <w:rFonts w:hint="eastAsia"/>
        </w:rPr>
        <w:t>此时</w:t>
      </w:r>
      <w:r>
        <w:t>，董家峪水厂或武陵源区供水公司应及时上报给</w:t>
      </w:r>
      <w:r>
        <w:rPr>
          <w:rFonts w:hint="eastAsia"/>
        </w:rPr>
        <w:t>区应急管理局</w:t>
      </w:r>
      <w:r>
        <w:t>，</w:t>
      </w:r>
      <w:r>
        <w:rPr>
          <w:rFonts w:hint="eastAsia"/>
        </w:rPr>
        <w:t>区应急管理局</w:t>
      </w:r>
      <w:r>
        <w:t>接报后对上报信息进行核实及研判，如对饮用水源造成影响，立即上报应急指挥部，启动应急预案。</w:t>
      </w:r>
    </w:p>
    <w:p w14:paraId="360100EF">
      <w:r>
        <w:t>应急指挥部总指挥在接到预警后，立即组成现场指挥部，召集水库管理所、董家峪水库水厂、</w:t>
      </w:r>
      <w:r>
        <w:rPr>
          <w:rFonts w:hint="eastAsia"/>
          <w:lang w:eastAsia="zh-CN"/>
        </w:rPr>
        <w:t>区农业农村水利局</w:t>
      </w:r>
      <w:r>
        <w:t>、</w:t>
      </w:r>
      <w:r>
        <w:rPr>
          <w:rFonts w:hint="eastAsia"/>
          <w:lang w:eastAsia="zh-CN"/>
        </w:rPr>
        <w:t>市生态环境局武陵源分局</w:t>
      </w:r>
      <w:r>
        <w:t>、</w:t>
      </w:r>
      <w:r>
        <w:rPr>
          <w:rFonts w:hint="default"/>
          <w:lang w:val="en-US" w:eastAsia="zh-CN"/>
        </w:rPr>
        <w:t>市交警直属二大队</w:t>
      </w:r>
      <w:r>
        <w:t>、</w:t>
      </w:r>
      <w:r>
        <w:rPr>
          <w:rFonts w:hint="eastAsia"/>
          <w:lang w:val="en-US" w:eastAsia="zh-CN"/>
        </w:rPr>
        <w:t>区城乡建设和交通运输局</w:t>
      </w:r>
      <w:r>
        <w:t>、</w:t>
      </w:r>
      <w:r>
        <w:rPr>
          <w:rFonts w:hint="eastAsia"/>
        </w:rPr>
        <w:t>区委宣传部</w:t>
      </w:r>
      <w:r>
        <w:t>组成应急组对事故进行处理。</w:t>
      </w:r>
    </w:p>
    <w:p w14:paraId="762E7C88">
      <w:r>
        <w:t>应急处置组主要由武陵源区供水公司、</w:t>
      </w:r>
      <w:r>
        <w:rPr>
          <w:rFonts w:hint="eastAsia"/>
          <w:lang w:eastAsia="zh-CN"/>
        </w:rPr>
        <w:t>区农业农村水利局</w:t>
      </w:r>
      <w:r>
        <w:t>、</w:t>
      </w:r>
      <w:r>
        <w:rPr>
          <w:rFonts w:hint="eastAsia"/>
          <w:lang w:eastAsia="zh-CN"/>
        </w:rPr>
        <w:t>市生态环境局武陵源分局</w:t>
      </w:r>
      <w:r>
        <w:t>负责。</w:t>
      </w:r>
    </w:p>
    <w:p w14:paraId="617C73CE">
      <w:pPr>
        <w:rPr>
          <w:rFonts w:hint="eastAsia"/>
          <w:lang w:val="en-US" w:eastAsia="zh-CN"/>
        </w:rPr>
      </w:pPr>
      <w:r>
        <w:t>武陵源区供水公司协同</w:t>
      </w:r>
      <w:r>
        <w:rPr>
          <w:rFonts w:hint="eastAsia"/>
          <w:lang w:eastAsia="zh-CN"/>
        </w:rPr>
        <w:t>区农业农村水利局</w:t>
      </w:r>
      <w:r>
        <w:t>采取藻类打捞、物理遮光、围栏堵截等方式，减少和控制藻类生长和扩散。</w:t>
      </w:r>
      <w:r>
        <w:rPr>
          <w:rFonts w:hint="eastAsia" w:ascii="Times New Roman" w:eastAsia="宋体"/>
          <w:lang w:val="en-US" w:eastAsia="zh-CN"/>
        </w:rPr>
        <w:t>董家峪水厂同时迅速采取措施，及时调整水处理工艺，强化水处理工艺的净化效果。如</w:t>
      </w:r>
      <w:r>
        <w:rPr>
          <w:rFonts w:hint="eastAsia"/>
          <w:lang w:val="en-US" w:eastAsia="zh-CN"/>
        </w:rPr>
        <w:t>水源</w:t>
      </w:r>
      <w:r>
        <w:rPr>
          <w:rFonts w:hint="eastAsia" w:ascii="Times New Roman" w:eastAsia="宋体"/>
          <w:lang w:val="en-US" w:eastAsia="zh-CN"/>
        </w:rPr>
        <w:t>污染</w:t>
      </w:r>
      <w:r>
        <w:rPr>
          <w:rFonts w:hint="eastAsia"/>
          <w:lang w:val="en-US" w:eastAsia="zh-CN"/>
        </w:rPr>
        <w:t>以及</w:t>
      </w:r>
      <w:r>
        <w:rPr>
          <w:rFonts w:hint="eastAsia" w:ascii="Times New Roman" w:eastAsia="宋体"/>
          <w:lang w:val="en-US" w:eastAsia="zh-CN"/>
        </w:rPr>
        <w:t>现有净化工艺不能保障水质时，水厂立即上报建议停止供水，启动索溪水厂供水，并通过各种媒体通告居民在事故未解除前，不得饮用污染的水。</w:t>
      </w:r>
    </w:p>
    <w:p w14:paraId="755622E3">
      <w:r>
        <w:t>应急监测组主要由</w:t>
      </w:r>
      <w:r>
        <w:rPr>
          <w:rFonts w:hint="eastAsia"/>
          <w:lang w:eastAsia="zh-CN"/>
        </w:rPr>
        <w:t>市生态环境局武陵源分局</w:t>
      </w:r>
      <w:r>
        <w:t>及</w:t>
      </w:r>
      <w:r>
        <w:rPr>
          <w:rFonts w:hint="eastAsia"/>
          <w:lang w:eastAsia="zh-CN"/>
        </w:rPr>
        <w:t>区农业农村水利局</w:t>
      </w:r>
      <w:r>
        <w:t>、</w:t>
      </w:r>
      <w:r>
        <w:rPr>
          <w:rFonts w:hint="eastAsia"/>
          <w:lang w:eastAsia="zh-CN"/>
        </w:rPr>
        <w:t>市生态环境局武陵源分局</w:t>
      </w:r>
      <w:r>
        <w:t>、</w:t>
      </w:r>
      <w:r>
        <w:rPr>
          <w:rFonts w:hint="eastAsia"/>
          <w:lang w:eastAsia="zh-CN"/>
        </w:rPr>
        <w:t>区卫生健康局</w:t>
      </w:r>
      <w:r>
        <w:rPr>
          <w:rFonts w:hint="eastAsia"/>
        </w:rPr>
        <w:t>、气象部门</w:t>
      </w:r>
      <w:r>
        <w:t>负责。</w:t>
      </w:r>
    </w:p>
    <w:p w14:paraId="3A26F4D6">
      <w:r>
        <w:rPr>
          <w:rFonts w:hint="eastAsia"/>
          <w:lang w:eastAsia="zh-CN"/>
        </w:rPr>
        <w:t>市生态环境局武陵源分局</w:t>
      </w:r>
      <w:r>
        <w:t>根据水华位置、藻类面积大小，在董家峪水库支流及取水口分别设置断面进行初步监测，监测因子主要为氨氮、总磷等，并将监测结果及时上报给现场指挥部，为现场指挥部及水厂应对决策提供依据；</w:t>
      </w:r>
    </w:p>
    <w:p w14:paraId="4DADBE95">
      <w:r>
        <w:rPr>
          <w:rFonts w:hint="eastAsia"/>
          <w:lang w:eastAsia="zh-CN"/>
        </w:rPr>
        <w:t>区农业农村水利局</w:t>
      </w:r>
      <w:r>
        <w:t>负责董家峪水库水文情况的监测；</w:t>
      </w:r>
    </w:p>
    <w:p w14:paraId="60AEDF76">
      <w:r>
        <w:rPr>
          <w:rFonts w:hint="eastAsia"/>
        </w:rPr>
        <w:t>气象部门</w:t>
      </w:r>
      <w:r>
        <w:t>负责资源卫星的分析和气象要素的监测；</w:t>
      </w:r>
    </w:p>
    <w:p w14:paraId="2E612D13">
      <w:r>
        <w:t>应急供水保障组主要由武陵源区供水公司及消防部门构成，根据现场指挥部对事件的研判，在董家峪水厂停止供水情况下，通过取用索溪水库水源或采用消防车供水等方式，保障人民群众日常生活用水。</w:t>
      </w:r>
    </w:p>
    <w:p w14:paraId="5E621575">
      <w:r>
        <w:t>应急物资保障组主要由</w:t>
      </w:r>
      <w:r>
        <w:rPr>
          <w:rFonts w:hint="eastAsia"/>
          <w:lang w:eastAsia="zh-CN"/>
        </w:rPr>
        <w:t>区</w:t>
      </w:r>
      <w:r>
        <w:rPr>
          <w:rFonts w:hint="eastAsia"/>
          <w:lang w:val="en-US" w:eastAsia="zh-CN"/>
        </w:rPr>
        <w:t>应急管理局和</w:t>
      </w:r>
      <w:r>
        <w:rPr>
          <w:rFonts w:hint="eastAsia"/>
          <w:lang w:eastAsia="zh-CN"/>
        </w:rPr>
        <w:t>区城乡建设和交通运输局</w:t>
      </w:r>
      <w:r>
        <w:t>负责，</w:t>
      </w:r>
      <w:r>
        <w:rPr>
          <w:rFonts w:hint="eastAsia"/>
          <w:lang w:eastAsia="zh-CN"/>
        </w:rPr>
        <w:t>区</w:t>
      </w:r>
      <w:r>
        <w:rPr>
          <w:rFonts w:hint="eastAsia"/>
          <w:lang w:val="en-US" w:eastAsia="zh-CN"/>
        </w:rPr>
        <w:t>应急管理局</w:t>
      </w:r>
      <w:r>
        <w:t>通过现场指挥部对事件处理的要求，将应急物资及时运输至事故地，</w:t>
      </w:r>
      <w:r>
        <w:rPr>
          <w:rFonts w:hint="eastAsia"/>
          <w:lang w:eastAsia="zh-CN"/>
        </w:rPr>
        <w:t>区城乡建设和交通运输局</w:t>
      </w:r>
      <w:r>
        <w:t>负责运输过程中道路畅通。</w:t>
      </w:r>
    </w:p>
    <w:p w14:paraId="0ACC9045">
      <w:r>
        <w:t>专家咨询组主要由相关专家组成，现场指挥部根据现场事故情况，咨询相关水利、环保专家，对事件</w:t>
      </w:r>
      <w:r>
        <w:rPr>
          <w:rFonts w:hint="eastAsia"/>
          <w:lang w:eastAsia="zh-CN"/>
        </w:rPr>
        <w:t>进行科学的</w:t>
      </w:r>
      <w:r>
        <w:t>研判。</w:t>
      </w:r>
    </w:p>
    <w:p w14:paraId="555E4BE9">
      <w:r>
        <w:rPr>
          <w:rFonts w:hint="eastAsia"/>
          <w:lang w:eastAsia="zh-CN"/>
        </w:rPr>
        <w:t>新闻宣传与舆情监测组</w:t>
      </w:r>
      <w:r>
        <w:t>主要由</w:t>
      </w:r>
      <w:r>
        <w:rPr>
          <w:rFonts w:hint="eastAsia"/>
        </w:rPr>
        <w:t>区委宣传部</w:t>
      </w:r>
      <w:r>
        <w:t>及</w:t>
      </w:r>
      <w:r>
        <w:rPr>
          <w:rFonts w:hint="eastAsia"/>
          <w:lang w:val="en-US" w:eastAsia="zh-CN"/>
        </w:rPr>
        <w:t>区融媒体中心</w:t>
      </w:r>
      <w:r>
        <w:t>负责，</w:t>
      </w:r>
      <w:r>
        <w:rPr>
          <w:rFonts w:hint="eastAsia"/>
        </w:rPr>
        <w:t>区委宣传部组织引导媒体在突发环境</w:t>
      </w:r>
      <w:r>
        <w:rPr>
          <w:rFonts w:hint="eastAsia"/>
          <w:lang w:eastAsia="zh-CN"/>
        </w:rPr>
        <w:t>事件</w:t>
      </w:r>
      <w:r>
        <w:rPr>
          <w:rFonts w:hint="eastAsia"/>
        </w:rPr>
        <w:t>下的信息发布、通报公开等工作</w:t>
      </w:r>
      <w:r>
        <w:t>；</w:t>
      </w:r>
      <w:r>
        <w:rPr>
          <w:rFonts w:hint="eastAsia"/>
          <w:lang w:val="en-US" w:eastAsia="zh-CN"/>
        </w:rPr>
        <w:t>区融媒体中心负责</w:t>
      </w:r>
      <w:r>
        <w:t>保障现场通讯正常及新闻发布相关工作</w:t>
      </w:r>
      <w:r>
        <w:rPr>
          <w:rFonts w:hint="eastAsia"/>
          <w:lang w:val="en-US" w:eastAsia="zh-CN"/>
        </w:rPr>
        <w:t>。</w:t>
      </w:r>
    </w:p>
    <w:p w14:paraId="44A2934B"/>
    <w:p w14:paraId="6C81AC78">
      <w:pPr>
        <w:sectPr>
          <w:footerReference r:id="rId5" w:type="default"/>
          <w:pgSz w:w="11906" w:h="16838"/>
          <w:pgMar w:top="1134" w:right="1531" w:bottom="1361"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147" w:name="_Toc514158771"/>
      <w:bookmarkStart w:id="148" w:name="_Toc513533949"/>
      <w:bookmarkStart w:id="149" w:name="_Toc514144436"/>
    </w:p>
    <w:p w14:paraId="70D8312D">
      <w:pPr>
        <w:ind w:firstLine="0" w:firstLineChars="0"/>
        <w:jc w:val="center"/>
        <w:rPr>
          <w:rFonts w:hint="eastAsia" w:eastAsia="宋体"/>
          <w:lang w:eastAsia="zh-CN"/>
        </w:rPr>
      </w:pPr>
      <w:r>
        <w:rPr>
          <w:rFonts w:hint="eastAsia" w:eastAsia="宋体"/>
          <w:lang w:eastAsia="zh-CN"/>
        </w:rPr>
        <w:drawing>
          <wp:inline distT="0" distB="0" distL="114300" distR="114300">
            <wp:extent cx="7459345" cy="5021580"/>
            <wp:effectExtent l="0" t="0" r="0" b="0"/>
            <wp:docPr id="7" name="图片 7" descr="水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华"/>
                    <pic:cNvPicPr>
                      <a:picLocks noChangeAspect="1"/>
                    </pic:cNvPicPr>
                  </pic:nvPicPr>
                  <pic:blipFill>
                    <a:blip r:embed="rId11"/>
                    <a:stretch>
                      <a:fillRect/>
                    </a:stretch>
                  </pic:blipFill>
                  <pic:spPr>
                    <a:xfrm>
                      <a:off x="0" y="0"/>
                      <a:ext cx="7459345" cy="5021580"/>
                    </a:xfrm>
                    <a:prstGeom prst="rect">
                      <a:avLst/>
                    </a:prstGeom>
                  </pic:spPr>
                </pic:pic>
              </a:graphicData>
            </a:graphic>
          </wp:inline>
        </w:drawing>
      </w:r>
    </w:p>
    <w:p w14:paraId="0F6090FE">
      <w:pPr>
        <w:ind w:firstLine="0" w:firstLineChars="0"/>
        <w:jc w:val="center"/>
      </w:pPr>
      <w:bookmarkStart w:id="150" w:name="_Toc522803230"/>
      <w:bookmarkStart w:id="151" w:name="_Toc519176891"/>
      <w:r>
        <w:rPr>
          <w:sz w:val="24"/>
          <w:szCs w:val="24"/>
        </w:rPr>
        <w:t>图3</w:t>
      </w:r>
      <w:r>
        <w:rPr>
          <w:rFonts w:hint="eastAsia"/>
          <w:sz w:val="24"/>
          <w:szCs w:val="24"/>
        </w:rPr>
        <w:t>.7-2</w:t>
      </w:r>
      <w:r>
        <w:rPr>
          <w:sz w:val="24"/>
          <w:szCs w:val="24"/>
        </w:rPr>
        <w:t>突发水华灾害事故现场处置方案</w:t>
      </w:r>
      <w:bookmarkEnd w:id="150"/>
      <w:bookmarkEnd w:id="151"/>
    </w:p>
    <w:bookmarkEnd w:id="147"/>
    <w:bookmarkEnd w:id="148"/>
    <w:bookmarkEnd w:id="149"/>
    <w:p w14:paraId="172DDC5E">
      <w:pPr>
        <w:sectPr>
          <w:pgSz w:w="16838" w:h="11906" w:orient="landscape"/>
          <w:pgMar w:top="1531" w:right="1134" w:bottom="1531" w:left="1361" w:header="851" w:footer="992" w:gutter="0"/>
          <w:pgBorders>
            <w:top w:val="none" w:sz="0" w:space="0"/>
            <w:left w:val="none" w:sz="0" w:space="0"/>
            <w:bottom w:val="none" w:sz="0" w:space="0"/>
            <w:right w:val="none" w:sz="0" w:space="0"/>
          </w:pgBorders>
          <w:pgNumType w:fmt="decimal"/>
          <w:cols w:space="0" w:num="1"/>
          <w:docGrid w:type="lines" w:linePitch="384" w:charSpace="0"/>
        </w:sectPr>
      </w:pPr>
    </w:p>
    <w:p w14:paraId="1639AD00">
      <w:pPr>
        <w:keepNext/>
        <w:keepLines/>
        <w:widowControl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w:t>
      </w:r>
      <w:r>
        <w:rPr>
          <w:rFonts w:hint="eastAsia" w:ascii="Times New Roman" w:hAnsi="Times New Roman" w:eastAsia="宋体" w:cs="Times New Roman"/>
          <w:b/>
          <w:bCs/>
          <w:kern w:val="2"/>
          <w:sz w:val="28"/>
          <w:szCs w:val="28"/>
          <w:lang w:val="en-US" w:eastAsia="zh-CN" w:bidi="ar-SA"/>
        </w:rPr>
        <w:t>7</w:t>
      </w:r>
      <w:r>
        <w:rPr>
          <w:rFonts w:ascii="Times New Roman" w:hAnsi="Times New Roman" w:eastAsia="宋体" w:cs="Times New Roman"/>
          <w:b/>
          <w:bCs/>
          <w:kern w:val="2"/>
          <w:sz w:val="28"/>
          <w:szCs w:val="28"/>
          <w:lang w:val="en-US" w:eastAsia="zh-CN" w:bidi="ar-SA"/>
        </w:rPr>
        <w:t>.2.5突发自然灾害事故</w:t>
      </w:r>
      <w:r>
        <w:rPr>
          <w:rFonts w:hint="eastAsia" w:ascii="Times New Roman" w:hAnsi="Times New Roman" w:eastAsia="宋体" w:cs="Times New Roman"/>
          <w:b/>
          <w:bCs/>
          <w:kern w:val="2"/>
          <w:sz w:val="28"/>
          <w:szCs w:val="28"/>
          <w:lang w:val="en-US" w:eastAsia="zh-CN" w:bidi="ar-SA"/>
        </w:rPr>
        <w:t>情景模拟</w:t>
      </w:r>
    </w:p>
    <w:p w14:paraId="7215AEE8">
      <w:r>
        <w:t>突发自然灾害事故包括董家峪水库集雨区范围内因暴雨冲刷引发山体泥石流、滑坡、崩塌等地质灾害</w:t>
      </w:r>
      <w:r>
        <w:rPr>
          <w:rFonts w:hint="eastAsia"/>
        </w:rPr>
        <w:t>或</w:t>
      </w:r>
      <w:r>
        <w:t>山体突发火灾，消防救援导致董家峪水库中悬浮物大量超标的事故。</w:t>
      </w:r>
    </w:p>
    <w:p w14:paraId="39E10874">
      <w:pPr>
        <w:spacing w:line="240" w:lineRule="auto"/>
        <w:ind w:firstLine="0" w:firstLineChars="0"/>
        <w:jc w:val="center"/>
        <w:rPr>
          <w:sz w:val="24"/>
          <w:szCs w:val="24"/>
        </w:rPr>
      </w:pPr>
      <w:bookmarkStart w:id="152" w:name="_Toc513533950"/>
      <w:bookmarkStart w:id="153" w:name="_Toc514166376"/>
      <w:r>
        <w:rPr>
          <w:sz w:val="24"/>
          <w:szCs w:val="24"/>
        </w:rPr>
        <w:t>表3.</w:t>
      </w:r>
      <w:r>
        <w:rPr>
          <w:rFonts w:hint="eastAsia"/>
          <w:sz w:val="24"/>
          <w:szCs w:val="24"/>
        </w:rPr>
        <w:t>7</w:t>
      </w:r>
      <w:r>
        <w:rPr>
          <w:sz w:val="24"/>
          <w:szCs w:val="24"/>
        </w:rPr>
        <w:t>-</w:t>
      </w:r>
      <w:r>
        <w:rPr>
          <w:rFonts w:hint="eastAsia"/>
          <w:sz w:val="24"/>
          <w:szCs w:val="24"/>
        </w:rPr>
        <w:t>1</w:t>
      </w:r>
      <w:r>
        <w:rPr>
          <w:sz w:val="24"/>
          <w:szCs w:val="24"/>
        </w:rPr>
        <w:t>突发自然灾害事故一览表</w:t>
      </w:r>
      <w:bookmarkEnd w:id="152"/>
      <w:bookmarkEnd w:id="153"/>
    </w:p>
    <w:tbl>
      <w:tblPr>
        <w:tblStyle w:val="19"/>
        <w:tblW w:w="86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266"/>
        <w:gridCol w:w="2835"/>
        <w:gridCol w:w="2079"/>
      </w:tblGrid>
      <w:tr w14:paraId="46D87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dxa"/>
            <w:tcBorders>
              <w:tl2br w:val="nil"/>
              <w:tr2bl w:val="nil"/>
            </w:tcBorders>
            <w:vAlign w:val="center"/>
          </w:tcPr>
          <w:p w14:paraId="04ED978C">
            <w:pPr>
              <w:ind w:firstLine="0" w:firstLineChars="0"/>
              <w:jc w:val="center"/>
              <w:rPr>
                <w:rFonts w:ascii="宋体" w:hAnsi="宋体" w:cs="宋体"/>
                <w:b/>
                <w:bCs/>
                <w:sz w:val="21"/>
                <w:szCs w:val="21"/>
              </w:rPr>
            </w:pPr>
            <w:r>
              <w:rPr>
                <w:rFonts w:ascii="宋体" w:hAnsi="宋体" w:cs="宋体"/>
                <w:b/>
                <w:bCs/>
                <w:sz w:val="21"/>
                <w:szCs w:val="21"/>
              </w:rPr>
              <w:t>序号</w:t>
            </w:r>
          </w:p>
        </w:tc>
        <w:tc>
          <w:tcPr>
            <w:tcW w:w="2266" w:type="dxa"/>
            <w:tcBorders>
              <w:tl2br w:val="nil"/>
              <w:tr2bl w:val="nil"/>
            </w:tcBorders>
            <w:vAlign w:val="center"/>
          </w:tcPr>
          <w:p w14:paraId="3ECC28D9">
            <w:pPr>
              <w:ind w:firstLine="0" w:firstLineChars="0"/>
              <w:jc w:val="center"/>
              <w:rPr>
                <w:rFonts w:ascii="宋体" w:hAnsi="宋体" w:cs="宋体"/>
                <w:b/>
                <w:bCs/>
                <w:sz w:val="21"/>
                <w:szCs w:val="21"/>
              </w:rPr>
            </w:pPr>
            <w:r>
              <w:rPr>
                <w:rFonts w:ascii="宋体" w:hAnsi="宋体" w:cs="宋体"/>
                <w:b/>
                <w:bCs/>
                <w:sz w:val="21"/>
                <w:szCs w:val="21"/>
              </w:rPr>
              <w:t>事件类型</w:t>
            </w:r>
          </w:p>
        </w:tc>
        <w:tc>
          <w:tcPr>
            <w:tcW w:w="2835" w:type="dxa"/>
            <w:tcBorders>
              <w:tl2br w:val="nil"/>
              <w:tr2bl w:val="nil"/>
            </w:tcBorders>
            <w:vAlign w:val="center"/>
          </w:tcPr>
          <w:p w14:paraId="3F196206">
            <w:pPr>
              <w:ind w:firstLine="0" w:firstLineChars="0"/>
              <w:jc w:val="center"/>
              <w:rPr>
                <w:rFonts w:ascii="宋体" w:hAnsi="宋体" w:cs="宋体"/>
                <w:b/>
                <w:bCs/>
                <w:sz w:val="21"/>
                <w:szCs w:val="21"/>
              </w:rPr>
            </w:pPr>
            <w:r>
              <w:rPr>
                <w:rFonts w:ascii="宋体" w:hAnsi="宋体" w:cs="宋体"/>
                <w:b/>
                <w:bCs/>
                <w:sz w:val="21"/>
                <w:szCs w:val="21"/>
              </w:rPr>
              <w:t>主要污染物种类</w:t>
            </w:r>
          </w:p>
        </w:tc>
        <w:tc>
          <w:tcPr>
            <w:tcW w:w="2079" w:type="dxa"/>
            <w:tcBorders>
              <w:tl2br w:val="nil"/>
              <w:tr2bl w:val="nil"/>
            </w:tcBorders>
            <w:vAlign w:val="center"/>
          </w:tcPr>
          <w:p w14:paraId="283AF9ED">
            <w:pPr>
              <w:ind w:firstLine="0" w:firstLineChars="0"/>
              <w:jc w:val="center"/>
              <w:rPr>
                <w:rFonts w:ascii="宋体" w:hAnsi="宋体" w:cs="宋体"/>
                <w:b/>
                <w:bCs/>
                <w:sz w:val="21"/>
                <w:szCs w:val="21"/>
              </w:rPr>
            </w:pPr>
            <w:r>
              <w:rPr>
                <w:rFonts w:ascii="宋体" w:hAnsi="宋体" w:cs="宋体"/>
                <w:b/>
                <w:bCs/>
                <w:sz w:val="21"/>
                <w:szCs w:val="21"/>
              </w:rPr>
              <w:t>影响程度</w:t>
            </w:r>
          </w:p>
        </w:tc>
      </w:tr>
      <w:tr w14:paraId="34C64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dxa"/>
            <w:tcBorders>
              <w:tl2br w:val="nil"/>
              <w:tr2bl w:val="nil"/>
            </w:tcBorders>
            <w:vAlign w:val="center"/>
          </w:tcPr>
          <w:p w14:paraId="7602E755">
            <w:pPr>
              <w:ind w:firstLine="0" w:firstLineChars="0"/>
              <w:jc w:val="center"/>
              <w:rPr>
                <w:rFonts w:ascii="宋体" w:hAnsi="宋体" w:cs="宋体"/>
                <w:sz w:val="21"/>
                <w:szCs w:val="21"/>
              </w:rPr>
            </w:pPr>
            <w:r>
              <w:rPr>
                <w:rFonts w:ascii="宋体" w:hAnsi="宋体" w:cs="宋体"/>
                <w:sz w:val="21"/>
                <w:szCs w:val="21"/>
              </w:rPr>
              <w:t>1</w:t>
            </w:r>
          </w:p>
        </w:tc>
        <w:tc>
          <w:tcPr>
            <w:tcW w:w="2266" w:type="dxa"/>
            <w:tcBorders>
              <w:tl2br w:val="nil"/>
              <w:tr2bl w:val="nil"/>
            </w:tcBorders>
            <w:vAlign w:val="center"/>
          </w:tcPr>
          <w:p w14:paraId="6556C6F8">
            <w:pPr>
              <w:ind w:firstLine="0" w:firstLineChars="0"/>
              <w:jc w:val="center"/>
              <w:rPr>
                <w:rFonts w:ascii="宋体" w:hAnsi="宋体" w:cs="宋体"/>
                <w:sz w:val="21"/>
                <w:szCs w:val="21"/>
              </w:rPr>
            </w:pPr>
            <w:r>
              <w:rPr>
                <w:rFonts w:ascii="宋体" w:hAnsi="宋体" w:cs="宋体"/>
                <w:sz w:val="21"/>
                <w:szCs w:val="21"/>
              </w:rPr>
              <w:t>山体火灾</w:t>
            </w:r>
          </w:p>
        </w:tc>
        <w:tc>
          <w:tcPr>
            <w:tcW w:w="2835" w:type="dxa"/>
            <w:tcBorders>
              <w:tl2br w:val="nil"/>
              <w:tr2bl w:val="nil"/>
            </w:tcBorders>
            <w:vAlign w:val="center"/>
          </w:tcPr>
          <w:p w14:paraId="43880F97">
            <w:pPr>
              <w:ind w:firstLine="0" w:firstLineChars="0"/>
              <w:jc w:val="center"/>
              <w:rPr>
                <w:rFonts w:ascii="宋体" w:hAnsi="宋体" w:cs="宋体"/>
                <w:sz w:val="21"/>
                <w:szCs w:val="21"/>
              </w:rPr>
            </w:pPr>
            <w:r>
              <w:rPr>
                <w:rFonts w:ascii="宋体" w:hAnsi="宋体" w:cs="宋体"/>
                <w:sz w:val="21"/>
                <w:szCs w:val="21"/>
              </w:rPr>
              <w:t>SS、消防水</w:t>
            </w:r>
          </w:p>
        </w:tc>
        <w:tc>
          <w:tcPr>
            <w:tcW w:w="2079" w:type="dxa"/>
            <w:tcBorders>
              <w:tl2br w:val="nil"/>
              <w:tr2bl w:val="nil"/>
            </w:tcBorders>
            <w:vAlign w:val="center"/>
          </w:tcPr>
          <w:p w14:paraId="52383692">
            <w:pPr>
              <w:ind w:firstLine="0" w:firstLineChars="0"/>
              <w:jc w:val="center"/>
              <w:rPr>
                <w:rFonts w:ascii="宋体" w:hAnsi="宋体" w:cs="宋体"/>
                <w:sz w:val="21"/>
                <w:szCs w:val="21"/>
              </w:rPr>
            </w:pPr>
            <w:r>
              <w:rPr>
                <w:rFonts w:ascii="宋体" w:hAnsi="宋体" w:cs="宋体"/>
                <w:sz w:val="21"/>
                <w:szCs w:val="21"/>
              </w:rPr>
              <w:t>较严重</w:t>
            </w:r>
          </w:p>
        </w:tc>
      </w:tr>
      <w:tr w14:paraId="31EA5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dxa"/>
            <w:tcBorders>
              <w:tl2br w:val="nil"/>
              <w:tr2bl w:val="nil"/>
            </w:tcBorders>
            <w:vAlign w:val="center"/>
          </w:tcPr>
          <w:p w14:paraId="2B58567E">
            <w:pPr>
              <w:ind w:firstLine="0" w:firstLineChars="0"/>
              <w:jc w:val="center"/>
              <w:rPr>
                <w:rFonts w:ascii="宋体" w:hAnsi="宋体" w:cs="宋体"/>
                <w:sz w:val="21"/>
                <w:szCs w:val="21"/>
              </w:rPr>
            </w:pPr>
            <w:r>
              <w:rPr>
                <w:rFonts w:ascii="宋体" w:hAnsi="宋体" w:cs="宋体"/>
                <w:sz w:val="21"/>
                <w:szCs w:val="21"/>
              </w:rPr>
              <w:t>2</w:t>
            </w:r>
          </w:p>
        </w:tc>
        <w:tc>
          <w:tcPr>
            <w:tcW w:w="2266" w:type="dxa"/>
            <w:tcBorders>
              <w:tl2br w:val="nil"/>
              <w:tr2bl w:val="nil"/>
            </w:tcBorders>
            <w:vAlign w:val="center"/>
          </w:tcPr>
          <w:p w14:paraId="6FE5B83C">
            <w:pPr>
              <w:ind w:firstLine="0" w:firstLineChars="0"/>
              <w:jc w:val="center"/>
              <w:rPr>
                <w:rFonts w:ascii="宋体" w:hAnsi="宋体" w:cs="宋体"/>
                <w:sz w:val="21"/>
                <w:szCs w:val="21"/>
              </w:rPr>
            </w:pPr>
            <w:r>
              <w:rPr>
                <w:rFonts w:ascii="宋体" w:hAnsi="宋体" w:cs="宋体"/>
                <w:sz w:val="21"/>
                <w:szCs w:val="21"/>
              </w:rPr>
              <w:t>山洪引发地质灾害</w:t>
            </w:r>
          </w:p>
        </w:tc>
        <w:tc>
          <w:tcPr>
            <w:tcW w:w="2835" w:type="dxa"/>
            <w:tcBorders>
              <w:tl2br w:val="nil"/>
              <w:tr2bl w:val="nil"/>
            </w:tcBorders>
            <w:vAlign w:val="center"/>
          </w:tcPr>
          <w:p w14:paraId="68C43EAC">
            <w:pPr>
              <w:ind w:firstLine="0" w:firstLineChars="0"/>
              <w:jc w:val="center"/>
              <w:rPr>
                <w:rFonts w:ascii="宋体" w:hAnsi="宋体" w:cs="宋体"/>
                <w:sz w:val="21"/>
                <w:szCs w:val="21"/>
              </w:rPr>
            </w:pPr>
            <w:r>
              <w:rPr>
                <w:rFonts w:ascii="宋体" w:hAnsi="宋体" w:cs="宋体"/>
                <w:sz w:val="21"/>
                <w:szCs w:val="21"/>
              </w:rPr>
              <w:t>SS</w:t>
            </w:r>
          </w:p>
        </w:tc>
        <w:tc>
          <w:tcPr>
            <w:tcW w:w="2079" w:type="dxa"/>
            <w:tcBorders>
              <w:tl2br w:val="nil"/>
              <w:tr2bl w:val="nil"/>
            </w:tcBorders>
            <w:vAlign w:val="center"/>
          </w:tcPr>
          <w:p w14:paraId="0F83E3A2">
            <w:pPr>
              <w:ind w:firstLine="0" w:firstLineChars="0"/>
              <w:jc w:val="center"/>
              <w:rPr>
                <w:rFonts w:ascii="宋体" w:hAnsi="宋体" w:cs="宋体"/>
                <w:sz w:val="21"/>
                <w:szCs w:val="21"/>
              </w:rPr>
            </w:pPr>
            <w:r>
              <w:rPr>
                <w:rFonts w:ascii="宋体" w:hAnsi="宋体" w:cs="宋体"/>
                <w:sz w:val="21"/>
                <w:szCs w:val="21"/>
              </w:rPr>
              <w:t>较严重</w:t>
            </w:r>
          </w:p>
        </w:tc>
      </w:tr>
    </w:tbl>
    <w:p w14:paraId="7E0B446A">
      <w:r>
        <w:rPr>
          <w:rFonts w:hint="eastAsia"/>
        </w:rPr>
        <w:t>（1）暴雨山洪引发的次生环境事件情景模拟</w:t>
      </w:r>
    </w:p>
    <w:p w14:paraId="22326EDF">
      <w:pPr>
        <w:rPr>
          <w:rFonts w:hint="eastAsia"/>
        </w:rPr>
      </w:pPr>
      <w:r>
        <w:rPr>
          <w:rFonts w:hint="eastAsia"/>
        </w:rPr>
        <w:t>董家峪保护区大部分为山林，一</w:t>
      </w:r>
      <w:r>
        <w:t>旦发生山洪引发地质灾害</w:t>
      </w:r>
      <w:r>
        <w:rPr>
          <w:rFonts w:hint="eastAsia"/>
        </w:rPr>
        <w:t>，大量泥沙、植被、漂浮物会被洪水冲入水中造成水质浑浊，感官性状恶化</w:t>
      </w:r>
      <w:r>
        <w:rPr>
          <w:rFonts w:hint="eastAsia" w:eastAsia="宋体"/>
          <w:lang w:eastAsia="zh-CN"/>
        </w:rPr>
        <w:t>（</w:t>
      </w:r>
      <w:r>
        <w:rPr>
          <w:rFonts w:hint="eastAsia"/>
        </w:rPr>
        <w:t>水变黄、有异味等</w:t>
      </w:r>
      <w:r>
        <w:rPr>
          <w:rFonts w:hint="eastAsia" w:eastAsia="宋体"/>
          <w:lang w:eastAsia="zh-CN"/>
        </w:rPr>
        <w:t>），导致水质恶化，严重时会使水源地失去净水能力</w:t>
      </w:r>
      <w:r>
        <w:rPr>
          <w:rFonts w:hint="eastAsia" w:ascii="Times New Roman" w:eastAsia="宋体"/>
          <w:lang w:val="en-US" w:eastAsia="zh-CN"/>
        </w:rPr>
        <w:t>从而</w:t>
      </w:r>
      <w:r>
        <w:rPr>
          <w:rFonts w:hint="eastAsia"/>
        </w:rPr>
        <w:t>会造成水库水体严重污染。</w:t>
      </w:r>
      <w:r>
        <w:rPr>
          <w:rFonts w:hint="eastAsia" w:ascii="Times New Roman" w:eastAsia="宋体"/>
          <w:lang w:val="en-US" w:eastAsia="zh-CN"/>
        </w:rPr>
        <w:t>同时会</w:t>
      </w:r>
      <w:r>
        <w:rPr>
          <w:rFonts w:hint="eastAsia"/>
        </w:rPr>
        <w:t>暴雨造成的急剧降温和气压变化，导致管道内外温度和压力突然变化，使管道出现破裂、裂缝和漏水等问题。在暴雨的天气条件下，供水管网中的污水管道被冲破，污水流入供水管网，供水水质遭到破坏，水中的菌群、细菌等发生重大变化，对人体健康造成一定威胁，甚至引发水源的二次污染。</w:t>
      </w:r>
    </w:p>
    <w:p w14:paraId="6704F201">
      <w:r>
        <w:t>针对董家峪水库</w:t>
      </w:r>
      <w:r>
        <w:rPr>
          <w:rFonts w:hint="eastAsia"/>
        </w:rPr>
        <w:t>饮用水水</w:t>
      </w:r>
      <w:r>
        <w:t>源地周边突发自然灾害事故，在董家峪水厂或消防部门将信息上报应急指挥部后，应急总指挥启动应急预案。</w:t>
      </w:r>
    </w:p>
    <w:p w14:paraId="568C02FB">
      <w:r>
        <w:t>应急指挥部总指挥在接到预警后，立即组成现场指挥部，召集</w:t>
      </w:r>
      <w:r>
        <w:rPr>
          <w:rFonts w:hint="eastAsia"/>
        </w:rPr>
        <w:t>应急管理局、</w:t>
      </w:r>
      <w:r>
        <w:t>消防部门、</w:t>
      </w:r>
      <w:r>
        <w:rPr>
          <w:rFonts w:hint="eastAsia"/>
          <w:lang w:eastAsia="zh-CN"/>
        </w:rPr>
        <w:t>市生态环境局武陵源分局</w:t>
      </w:r>
      <w:r>
        <w:t>、</w:t>
      </w:r>
      <w:r>
        <w:rPr>
          <w:rFonts w:hint="eastAsia"/>
          <w:lang w:eastAsia="zh-CN"/>
        </w:rPr>
        <w:t>区农业农村水利局</w:t>
      </w:r>
      <w:r>
        <w:t>、</w:t>
      </w:r>
      <w:r>
        <w:rPr>
          <w:rFonts w:hint="eastAsia"/>
          <w:lang w:val="en-US" w:eastAsia="zh-CN"/>
        </w:rPr>
        <w:t>区城乡建设和交通运输局</w:t>
      </w:r>
      <w:r>
        <w:t>、</w:t>
      </w:r>
      <w:r>
        <w:rPr>
          <w:rFonts w:hint="eastAsia"/>
          <w:lang w:eastAsia="zh-CN"/>
        </w:rPr>
        <w:t>区卫生健康局</w:t>
      </w:r>
      <w:r>
        <w:t>、</w:t>
      </w:r>
      <w:r>
        <w:rPr>
          <w:rFonts w:hint="eastAsia"/>
        </w:rPr>
        <w:t>气象部门</w:t>
      </w:r>
      <w:r>
        <w:t>、通信管理部门、董家峪水厂组成应急组对事故进行处理。</w:t>
      </w:r>
    </w:p>
    <w:p w14:paraId="7D6253C7">
      <w:r>
        <w:t>应急处置组主要由消防部门</w:t>
      </w:r>
      <w:r>
        <w:rPr>
          <w:rFonts w:hint="eastAsia"/>
        </w:rPr>
        <w:t>、区应急管理局、</w:t>
      </w:r>
      <w:r>
        <w:rPr>
          <w:rFonts w:hint="eastAsia"/>
          <w:lang w:eastAsia="zh-CN"/>
        </w:rPr>
        <w:t>区农业农村水利局</w:t>
      </w:r>
      <w:r>
        <w:t>、董家峪水厂负责。针对洪水</w:t>
      </w:r>
      <w:r>
        <w:rPr>
          <w:rFonts w:hint="eastAsia"/>
        </w:rPr>
        <w:t>引发</w:t>
      </w:r>
      <w:r>
        <w:t>山体地质灾害，</w:t>
      </w:r>
      <w:r>
        <w:rPr>
          <w:rFonts w:hint="eastAsia"/>
          <w:lang w:eastAsia="zh-CN"/>
        </w:rPr>
        <w:t>区农业农村水利局</w:t>
      </w:r>
      <w:r>
        <w:t>应在库区水面及时设置围堰、闸坝拦截等设施，防止悬浮物的进一步扩散。</w:t>
      </w:r>
    </w:p>
    <w:p w14:paraId="658EDB70">
      <w:pPr>
        <w:rPr>
          <w:rFonts w:hint="eastAsia"/>
          <w:lang w:val="en-US" w:eastAsia="zh-CN"/>
        </w:rPr>
      </w:pPr>
      <w:r>
        <w:t>如引发的地质灾害造成</w:t>
      </w:r>
      <w:r>
        <w:rPr>
          <w:rFonts w:hint="eastAsia"/>
        </w:rPr>
        <w:t>饮用水水</w:t>
      </w:r>
      <w:r>
        <w:t>源地</w:t>
      </w:r>
      <w:r>
        <w:rPr>
          <w:rFonts w:hint="eastAsia" w:ascii="Times New Roman" w:eastAsia="宋体"/>
          <w:lang w:val="en-US" w:eastAsia="zh-CN"/>
        </w:rPr>
        <w:t>水质超标，应急指挥部通知董家峪水厂迅速采取措施，及时调整水处理工艺，强化水处理工艺的净化效果。如</w:t>
      </w:r>
      <w:r>
        <w:rPr>
          <w:rFonts w:hint="eastAsia"/>
          <w:lang w:val="en-US" w:eastAsia="zh-CN"/>
        </w:rPr>
        <w:t>水源</w:t>
      </w:r>
      <w:r>
        <w:rPr>
          <w:rFonts w:hint="eastAsia" w:ascii="Times New Roman" w:eastAsia="宋体"/>
          <w:lang w:val="en-US" w:eastAsia="zh-CN"/>
        </w:rPr>
        <w:t>污染以现有净化工艺不能控制时，水厂立即上报建议停止供水，启动临时供水措施，并通过各种媒体通告居民在事故未解除前，不得饮用污染的水。</w:t>
      </w:r>
    </w:p>
    <w:p w14:paraId="60DF863C">
      <w:r>
        <w:t>如引发的地质灾害造成</w:t>
      </w:r>
      <w:r>
        <w:rPr>
          <w:rFonts w:hint="eastAsia"/>
        </w:rPr>
        <w:t>饮用水水</w:t>
      </w:r>
      <w:r>
        <w:t>源地不能有效取水，</w:t>
      </w:r>
      <w:r>
        <w:rPr>
          <w:rFonts w:hint="eastAsia"/>
          <w:lang w:eastAsia="zh-CN"/>
        </w:rPr>
        <w:t>区农业农村水利局</w:t>
      </w:r>
      <w:r>
        <w:t>联合水厂应立即采取清运、开挖等方式恢复水源，若地质</w:t>
      </w:r>
      <w:r>
        <w:rPr>
          <w:rFonts w:hint="eastAsia"/>
        </w:rPr>
        <w:t>灾害</w:t>
      </w:r>
      <w:r>
        <w:t>较大，没有条件进行工程措施，</w:t>
      </w:r>
      <w:r>
        <w:rPr>
          <w:rFonts w:hint="eastAsia"/>
          <w:lang w:eastAsia="zh-CN"/>
        </w:rPr>
        <w:t>区农业农村水利局</w:t>
      </w:r>
      <w:r>
        <w:t>应立即上报人民政府，选择</w:t>
      </w:r>
      <w:r>
        <w:rPr>
          <w:rFonts w:hint="eastAsia" w:ascii="Times New Roman" w:eastAsia="宋体"/>
          <w:lang w:val="en-US" w:eastAsia="zh-CN"/>
        </w:rPr>
        <w:t>索溪</w:t>
      </w:r>
      <w:r>
        <w:t>备用水源供水。</w:t>
      </w:r>
    </w:p>
    <w:p w14:paraId="0C1C2150">
      <w:r>
        <w:t>应急监测组主要由</w:t>
      </w:r>
      <w:r>
        <w:rPr>
          <w:rFonts w:hint="eastAsia"/>
          <w:lang w:eastAsia="zh-CN"/>
        </w:rPr>
        <w:t>市生态环境局武陵源分局</w:t>
      </w:r>
      <w:r>
        <w:t>及</w:t>
      </w:r>
      <w:r>
        <w:rPr>
          <w:rFonts w:hint="eastAsia"/>
          <w:lang w:eastAsia="zh-CN"/>
        </w:rPr>
        <w:t>区农业农村水利局</w:t>
      </w:r>
      <w:r>
        <w:t>、</w:t>
      </w:r>
      <w:r>
        <w:rPr>
          <w:rFonts w:hint="eastAsia"/>
        </w:rPr>
        <w:t>气象部门</w:t>
      </w:r>
      <w:r>
        <w:t>负责。</w:t>
      </w:r>
    </w:p>
    <w:p w14:paraId="56247588">
      <w:r>
        <w:rPr>
          <w:rFonts w:hint="eastAsia"/>
          <w:lang w:eastAsia="zh-CN"/>
        </w:rPr>
        <w:t>市生态环境局武陵源分局</w:t>
      </w:r>
      <w:r>
        <w:t>根据地质灾害位置、规模大小</w:t>
      </w:r>
      <w:r>
        <w:rPr>
          <w:rFonts w:hint="eastAsia" w:eastAsia="宋体"/>
          <w:lang w:eastAsia="zh-CN"/>
        </w:rPr>
        <w:t>、</w:t>
      </w:r>
      <w:r>
        <w:t>悬浮物，在污染团上、下游及取水口分别设置断面进行初步监测，监测因子主要以悬浮物中污染物种类，并将监测结果及时上报给现场指挥部，为现场指挥部及水厂应对决策提供依据；</w:t>
      </w:r>
    </w:p>
    <w:p w14:paraId="3EBA6447">
      <w:r>
        <w:rPr>
          <w:rFonts w:hint="eastAsia"/>
        </w:rPr>
        <w:t>气象部门</w:t>
      </w:r>
      <w:r>
        <w:t>负责资源卫星的分析和气象要素的监测；</w:t>
      </w:r>
    </w:p>
    <w:p w14:paraId="5608FF72">
      <w:r>
        <w:t>应急供水保障组主要由武陵源区供水公司及消防部门构成，根据现场指挥部对事件的研判，若董家峪水厂需停止取水，</w:t>
      </w:r>
      <w:r>
        <w:rPr>
          <w:rFonts w:hint="eastAsia" w:ascii="Times New Roman" w:eastAsia="宋体"/>
          <w:lang w:val="en-US" w:eastAsia="zh-CN"/>
        </w:rPr>
        <w:t>则</w:t>
      </w:r>
      <w:r>
        <w:t>通过增加索溪水厂供水（索溪水厂与董家峪水厂已联合供水）或采用消防车供水等方式，保障人民群众日常生活用水。</w:t>
      </w:r>
    </w:p>
    <w:p w14:paraId="6A6A08AB">
      <w:r>
        <w:t>应急物资保障组主要由区</w:t>
      </w:r>
      <w:r>
        <w:rPr>
          <w:rFonts w:hint="eastAsia"/>
        </w:rPr>
        <w:t>应急管理局</w:t>
      </w:r>
      <w:r>
        <w:t>及</w:t>
      </w:r>
      <w:r>
        <w:rPr>
          <w:rFonts w:hint="eastAsia"/>
          <w:lang w:val="en-US" w:eastAsia="zh-CN"/>
        </w:rPr>
        <w:t>区城乡建设和交通运输局</w:t>
      </w:r>
      <w:r>
        <w:t>负责，区</w:t>
      </w:r>
      <w:r>
        <w:rPr>
          <w:rFonts w:hint="eastAsia"/>
        </w:rPr>
        <w:t>应急管理局</w:t>
      </w:r>
      <w:r>
        <w:t>通过现场指挥部对事件处理的要求，将应急物资及时运输至事故地，</w:t>
      </w:r>
      <w:r>
        <w:rPr>
          <w:rFonts w:hint="eastAsia"/>
          <w:lang w:val="en-US" w:eastAsia="zh-CN"/>
        </w:rPr>
        <w:t>区城乡建设和交通运输局</w:t>
      </w:r>
      <w:r>
        <w:t>负责运输过程中道路畅通。</w:t>
      </w:r>
    </w:p>
    <w:p w14:paraId="793CE980">
      <w:r>
        <w:t>专家咨询组主要由相关专家组成，现场指挥部根据现场事故情况，咨询相关水利、环保专家，对事件进行科学</w:t>
      </w:r>
      <w:r>
        <w:rPr>
          <w:rFonts w:hint="eastAsia"/>
        </w:rPr>
        <w:t>地</w:t>
      </w:r>
      <w:r>
        <w:t>研判。</w:t>
      </w:r>
    </w:p>
    <w:p w14:paraId="00F575E4">
      <w:r>
        <w:rPr>
          <w:rFonts w:hint="eastAsia"/>
          <w:lang w:eastAsia="zh-CN"/>
        </w:rPr>
        <w:t>新闻宣传与舆情监测组</w:t>
      </w:r>
      <w:r>
        <w:t>主要由</w:t>
      </w:r>
      <w:r>
        <w:rPr>
          <w:rFonts w:hint="eastAsia"/>
        </w:rPr>
        <w:t>区委宣传部</w:t>
      </w:r>
      <w:r>
        <w:t>及</w:t>
      </w:r>
      <w:r>
        <w:rPr>
          <w:rFonts w:hint="eastAsia"/>
          <w:lang w:val="en-US" w:eastAsia="zh-CN"/>
        </w:rPr>
        <w:t>区融媒体中心</w:t>
      </w:r>
      <w:r>
        <w:t>负责，</w:t>
      </w:r>
      <w:r>
        <w:rPr>
          <w:rFonts w:hint="eastAsia"/>
        </w:rPr>
        <w:t>区委宣传部组织引导媒体在突发环境</w:t>
      </w:r>
      <w:r>
        <w:rPr>
          <w:rFonts w:hint="eastAsia"/>
          <w:lang w:eastAsia="zh-CN"/>
        </w:rPr>
        <w:t>事件</w:t>
      </w:r>
      <w:r>
        <w:rPr>
          <w:rFonts w:hint="eastAsia"/>
        </w:rPr>
        <w:t>下的信息发布、通报公开等工作</w:t>
      </w:r>
      <w:r>
        <w:t>；</w:t>
      </w:r>
      <w:r>
        <w:rPr>
          <w:rFonts w:hint="eastAsia"/>
          <w:lang w:val="en-US" w:eastAsia="zh-CN"/>
        </w:rPr>
        <w:t>区融媒体中心负责</w:t>
      </w:r>
      <w:r>
        <w:t>保障现场通讯正常及新闻发布相关工作</w:t>
      </w:r>
      <w:r>
        <w:rPr>
          <w:rFonts w:hint="eastAsia"/>
          <w:lang w:val="en-US" w:eastAsia="zh-CN"/>
        </w:rPr>
        <w:t>。</w:t>
      </w:r>
    </w:p>
    <w:p w14:paraId="2992D0BD">
      <w:r>
        <w:rPr>
          <w:rFonts w:hint="eastAsia"/>
        </w:rPr>
        <w:t>（2）森林火灾引发的次生环境事件情景模拟</w:t>
      </w:r>
    </w:p>
    <w:p w14:paraId="02BEDC26">
      <w:pPr>
        <w:rPr>
          <w:rFonts w:hint="eastAsia"/>
        </w:rPr>
      </w:pPr>
      <w:r>
        <w:rPr>
          <w:rFonts w:hint="eastAsia"/>
        </w:rPr>
        <w:t>董家峪保护区大部分为山林，</w:t>
      </w:r>
      <w:r>
        <w:t>一旦发生森林火灾或山</w:t>
      </w:r>
      <w:r>
        <w:rPr>
          <w:rFonts w:hint="eastAsia" w:eastAsia="宋体"/>
          <w:lang w:eastAsia="zh-CN"/>
        </w:rPr>
        <w:t>，</w:t>
      </w:r>
      <w:r>
        <w:rPr>
          <w:rFonts w:hint="eastAsia" w:ascii="Times New Roman" w:eastAsia="宋体"/>
          <w:lang w:val="en-US" w:eastAsia="zh-CN"/>
        </w:rPr>
        <w:t>需要大量人员进行上山灭火，</w:t>
      </w:r>
      <w:r>
        <w:rPr>
          <w:rFonts w:hint="eastAsia"/>
        </w:rPr>
        <w:t>救火过程中产生的大量消防废水流往水库库区，</w:t>
      </w:r>
      <w:r>
        <w:t>极易造成库区水质污染，无法为下游自来水厂进行正常供水</w:t>
      </w:r>
      <w:r>
        <w:rPr>
          <w:rFonts w:hint="eastAsia" w:eastAsia="宋体"/>
          <w:lang w:eastAsia="zh-CN"/>
        </w:rPr>
        <w:t>，</w:t>
      </w:r>
      <w:r>
        <w:rPr>
          <w:rFonts w:hint="eastAsia"/>
        </w:rPr>
        <w:t>严重威胁饮用水水源安全。</w:t>
      </w:r>
    </w:p>
    <w:p w14:paraId="71B26D2E">
      <w:pPr>
        <w:rPr>
          <w:rFonts w:hint="eastAsia"/>
          <w:lang w:eastAsia="zh-CN"/>
        </w:rPr>
      </w:pPr>
      <w:r>
        <w:t>应急处置组主要由消防部门</w:t>
      </w:r>
      <w:r>
        <w:rPr>
          <w:rFonts w:hint="eastAsia"/>
        </w:rPr>
        <w:t>、区应急管理局、</w:t>
      </w:r>
      <w:r>
        <w:rPr>
          <w:rFonts w:hint="eastAsia"/>
          <w:lang w:eastAsia="zh-CN"/>
        </w:rPr>
        <w:t>区农业农村水利局</w:t>
      </w:r>
      <w:r>
        <w:t>、董家峪水厂负责。</w:t>
      </w:r>
    </w:p>
    <w:p w14:paraId="2E80FB34">
      <w:pPr>
        <w:rPr>
          <w:rFonts w:hint="eastAsia"/>
          <w:lang w:val="en-US" w:eastAsia="zh-CN"/>
        </w:rPr>
      </w:pPr>
      <w:r>
        <w:rPr>
          <w:rFonts w:hint="eastAsia" w:ascii="Times New Roman" w:eastAsia="宋体"/>
          <w:lang w:val="en-US" w:eastAsia="zh-CN"/>
        </w:rPr>
        <w:t>应急指挥</w:t>
      </w:r>
      <w:r>
        <w:rPr>
          <w:rFonts w:hint="eastAsia"/>
        </w:rPr>
        <w:t>立即启动应急预案，联合开展应急处置工作。应急处置组在水流方向的下游堆砌沙包筑起堵坝，防止废水流进水库，并投放活性炭包吸附消防废水中的污染物</w:t>
      </w:r>
      <w:r>
        <w:rPr>
          <w:rFonts w:hint="eastAsia" w:eastAsia="宋体"/>
          <w:lang w:eastAsia="zh-CN"/>
        </w:rPr>
        <w:t>；</w:t>
      </w:r>
      <w:r>
        <w:rPr>
          <w:rFonts w:hint="eastAsia" w:ascii="Times New Roman" w:eastAsia="宋体"/>
          <w:lang w:val="en-US" w:eastAsia="zh-CN"/>
        </w:rPr>
        <w:t>董家峪水厂迅速采取措施，及时调整水处理工艺，强化水处理工艺的净化效果。如源水污染以现有净化工艺不能控制时，水厂立即上报建议停止供水，启动临时供水措施，并通过各种媒体通告居民在事故未解除前，不得饮用污染的水。</w:t>
      </w:r>
    </w:p>
    <w:p w14:paraId="7C6CB9F9">
      <w:r>
        <w:t>应急监测组主要由</w:t>
      </w:r>
      <w:r>
        <w:rPr>
          <w:rFonts w:hint="eastAsia"/>
          <w:lang w:eastAsia="zh-CN"/>
        </w:rPr>
        <w:t>市生态环境局武陵源分局</w:t>
      </w:r>
      <w:r>
        <w:t>及</w:t>
      </w:r>
      <w:r>
        <w:rPr>
          <w:rFonts w:hint="eastAsia"/>
          <w:lang w:eastAsia="zh-CN"/>
        </w:rPr>
        <w:t>区农业农村水利局</w:t>
      </w:r>
      <w:r>
        <w:t>、</w:t>
      </w:r>
      <w:r>
        <w:rPr>
          <w:rFonts w:hint="eastAsia"/>
        </w:rPr>
        <w:t>气象部门</w:t>
      </w:r>
      <w:r>
        <w:t>负责。</w:t>
      </w:r>
    </w:p>
    <w:p w14:paraId="71530CA0">
      <w:r>
        <w:rPr>
          <w:rFonts w:hint="eastAsia"/>
          <w:lang w:eastAsia="zh-CN"/>
        </w:rPr>
        <w:t>市生态环境局武陵源分局</w:t>
      </w:r>
      <w:r>
        <w:t>根据火灾位置、规模大小、消防废水中污染物种类、悬浮物，</w:t>
      </w:r>
      <w:r>
        <w:rPr>
          <w:rFonts w:hint="eastAsia"/>
        </w:rPr>
        <w:t>分别对堵坝内的消防废水、事故区域周边水体、取水口附近水体进行应急监测</w:t>
      </w:r>
      <w:r>
        <w:t>，监测因子主要以悬浮物及消防废水中污染物种类，并将监测结果及时上报给现场指挥部，为现场指挥部及水厂应对决策提供依据；</w:t>
      </w:r>
    </w:p>
    <w:p w14:paraId="7619DEA9">
      <w:r>
        <w:rPr>
          <w:rFonts w:hint="eastAsia"/>
        </w:rPr>
        <w:t>气象部门</w:t>
      </w:r>
      <w:r>
        <w:t>负责资源卫星的分析和气象要素的监测；</w:t>
      </w:r>
    </w:p>
    <w:p w14:paraId="7361DC44">
      <w:r>
        <w:t>应急供水保障组主要由武陵源区供水公司及消防部门构成，根据现场指挥部对事件的研判，若董家峪水厂需停止取水，通过增加索溪水厂供水（索溪水厂与董家峪水厂已联合供水）或采用消防车供水等方式，保障人民群众日常生活用水。</w:t>
      </w:r>
    </w:p>
    <w:p w14:paraId="531296B0">
      <w:r>
        <w:t>应急物资保障组主要由区</w:t>
      </w:r>
      <w:r>
        <w:rPr>
          <w:rFonts w:hint="eastAsia"/>
        </w:rPr>
        <w:t>应急管理局</w:t>
      </w:r>
      <w:r>
        <w:t>及，</w:t>
      </w:r>
      <w:r>
        <w:rPr>
          <w:rFonts w:hint="eastAsia"/>
          <w:lang w:val="en-US" w:eastAsia="zh-CN"/>
        </w:rPr>
        <w:t>区卫生健康局</w:t>
      </w:r>
      <w:r>
        <w:t>负责，区</w:t>
      </w:r>
      <w:r>
        <w:rPr>
          <w:rFonts w:hint="eastAsia"/>
        </w:rPr>
        <w:t>应急管理局</w:t>
      </w:r>
      <w:r>
        <w:t>通过现场指挥部对事件处理的要求，将应急物资及时运输至事故地，</w:t>
      </w:r>
      <w:r>
        <w:rPr>
          <w:rFonts w:hint="eastAsia"/>
          <w:lang w:val="en-US" w:eastAsia="zh-CN"/>
        </w:rPr>
        <w:t>区卫生健康局负责事故人员救治工作</w:t>
      </w:r>
      <w:r>
        <w:t>。</w:t>
      </w:r>
    </w:p>
    <w:p w14:paraId="42880D9C">
      <w:r>
        <w:t>专家咨询组主要由相关专家组成，现场指挥部根据现场事故情况，咨询相关水利、环保专家，对事件</w:t>
      </w:r>
      <w:r>
        <w:rPr>
          <w:rFonts w:hint="eastAsia"/>
          <w:lang w:eastAsia="zh-CN"/>
        </w:rPr>
        <w:t>进行科学的</w:t>
      </w:r>
      <w:r>
        <w:t>研判。</w:t>
      </w:r>
    </w:p>
    <w:p w14:paraId="5B0DA672">
      <w:r>
        <w:rPr>
          <w:rFonts w:hint="eastAsia"/>
          <w:lang w:eastAsia="zh-CN"/>
        </w:rPr>
        <w:t>新闻宣传与舆情监测组</w:t>
      </w:r>
      <w:r>
        <w:t>主要由</w:t>
      </w:r>
      <w:r>
        <w:rPr>
          <w:rFonts w:hint="eastAsia"/>
        </w:rPr>
        <w:t>区委宣传部</w:t>
      </w:r>
      <w:r>
        <w:t>及</w:t>
      </w:r>
      <w:r>
        <w:rPr>
          <w:rFonts w:hint="eastAsia"/>
          <w:lang w:val="en-US" w:eastAsia="zh-CN"/>
        </w:rPr>
        <w:t>区融媒体中心</w:t>
      </w:r>
      <w:r>
        <w:t>负责，</w:t>
      </w:r>
      <w:r>
        <w:rPr>
          <w:rFonts w:hint="eastAsia"/>
        </w:rPr>
        <w:t>区委宣传部组织引导媒体在突发环境</w:t>
      </w:r>
      <w:r>
        <w:rPr>
          <w:rFonts w:hint="eastAsia"/>
          <w:lang w:eastAsia="zh-CN"/>
        </w:rPr>
        <w:t>事件</w:t>
      </w:r>
      <w:r>
        <w:rPr>
          <w:rFonts w:hint="eastAsia"/>
        </w:rPr>
        <w:t>下的信息发布、通报公开等工作</w:t>
      </w:r>
      <w:r>
        <w:t>；</w:t>
      </w:r>
      <w:r>
        <w:rPr>
          <w:rFonts w:hint="eastAsia"/>
          <w:lang w:val="en-US" w:eastAsia="zh-CN"/>
        </w:rPr>
        <w:t>区融媒体中心负责</w:t>
      </w:r>
      <w:r>
        <w:t>保障现场通讯正常及新闻发布相关工作</w:t>
      </w:r>
      <w:r>
        <w:rPr>
          <w:rFonts w:hint="eastAsia"/>
          <w:lang w:val="en-US" w:eastAsia="zh-CN"/>
        </w:rPr>
        <w:t>。</w:t>
      </w:r>
    </w:p>
    <w:p w14:paraId="7E091A0E">
      <w:pPr>
        <w:rPr>
          <w:rFonts w:hint="eastAsia" w:eastAsia="宋体"/>
          <w:lang w:eastAsia="zh-CN"/>
        </w:rPr>
        <w:sectPr>
          <w:pgSz w:w="11906" w:h="16838"/>
          <w:pgMar w:top="1134" w:right="1531" w:bottom="1361"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932F708">
      <w:pPr>
        <w:ind w:firstLine="0" w:firstLineChars="0"/>
        <w:jc w:val="center"/>
        <w:rPr>
          <w:rFonts w:hint="eastAsia" w:eastAsia="宋体"/>
          <w:lang w:eastAsia="zh-CN"/>
        </w:rPr>
      </w:pPr>
      <w:r>
        <w:rPr>
          <w:rFonts w:hint="eastAsia" w:eastAsia="宋体"/>
          <w:lang w:eastAsia="zh-CN"/>
        </w:rPr>
        <w:drawing>
          <wp:inline distT="0" distB="0" distL="114300" distR="114300">
            <wp:extent cx="6499860" cy="4752975"/>
            <wp:effectExtent l="0" t="0" r="0" b="0"/>
            <wp:docPr id="11" name="图片 11" descr="自然灾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自然灾害"/>
                    <pic:cNvPicPr>
                      <a:picLocks noChangeAspect="1"/>
                    </pic:cNvPicPr>
                  </pic:nvPicPr>
                  <pic:blipFill>
                    <a:blip r:embed="rId12"/>
                    <a:stretch>
                      <a:fillRect/>
                    </a:stretch>
                  </pic:blipFill>
                  <pic:spPr>
                    <a:xfrm>
                      <a:off x="0" y="0"/>
                      <a:ext cx="6499860" cy="4752975"/>
                    </a:xfrm>
                    <a:prstGeom prst="rect">
                      <a:avLst/>
                    </a:prstGeom>
                  </pic:spPr>
                </pic:pic>
              </a:graphicData>
            </a:graphic>
          </wp:inline>
        </w:drawing>
      </w:r>
    </w:p>
    <w:p w14:paraId="564B3940">
      <w:pPr>
        <w:ind w:firstLine="0" w:firstLineChars="0"/>
        <w:jc w:val="center"/>
        <w:rPr>
          <w:sz w:val="24"/>
          <w:szCs w:val="24"/>
        </w:rPr>
      </w:pPr>
      <w:r>
        <w:rPr>
          <w:sz w:val="24"/>
          <w:szCs w:val="24"/>
        </w:rPr>
        <w:t>图3</w:t>
      </w:r>
      <w:r>
        <w:rPr>
          <w:rFonts w:hint="eastAsia"/>
          <w:sz w:val="24"/>
          <w:szCs w:val="24"/>
        </w:rPr>
        <w:t>.7-3</w:t>
      </w:r>
      <w:r>
        <w:rPr>
          <w:sz w:val="24"/>
          <w:szCs w:val="24"/>
        </w:rPr>
        <w:t>突发自然灾害事故现场处置方案</w:t>
      </w:r>
    </w:p>
    <w:p w14:paraId="2A85C062">
      <w:pPr>
        <w:sectPr>
          <w:pgSz w:w="16838" w:h="11906" w:orient="landscape"/>
          <w:pgMar w:top="1531" w:right="1134" w:bottom="1531" w:left="1361" w:header="851" w:footer="992" w:gutter="0"/>
          <w:pgBorders>
            <w:top w:val="none" w:sz="0" w:space="0"/>
            <w:left w:val="none" w:sz="0" w:space="0"/>
            <w:bottom w:val="none" w:sz="0" w:space="0"/>
            <w:right w:val="none" w:sz="0" w:space="0"/>
          </w:pgBorders>
          <w:pgNumType w:fmt="decimal"/>
          <w:cols w:space="0" w:num="1"/>
          <w:docGrid w:type="lines" w:linePitch="384" w:charSpace="0"/>
        </w:sectPr>
      </w:pPr>
    </w:p>
    <w:p w14:paraId="652954FA">
      <w:pPr>
        <w:keepNext/>
        <w:keepLines/>
        <w:widowControl w:val="0"/>
        <w:spacing w:line="377" w:lineRule="auto"/>
        <w:ind w:firstLine="0" w:firstLineChars="0"/>
        <w:jc w:val="both"/>
        <w:outlineLvl w:val="4"/>
        <w:rPr>
          <w:rFonts w:ascii="Times New Roman" w:hAnsi="Times New Roman" w:eastAsia="宋体" w:cs="Times New Roman"/>
          <w:b/>
          <w:bCs/>
          <w:kern w:val="2"/>
          <w:sz w:val="28"/>
          <w:szCs w:val="28"/>
          <w:lang w:val="en-US" w:eastAsia="zh-CN" w:bidi="ar-SA"/>
        </w:rPr>
      </w:pPr>
      <w:r>
        <w:rPr>
          <w:rFonts w:ascii="Times New Roman" w:hAnsi="Times New Roman" w:eastAsia="宋体" w:cs="Times New Roman"/>
          <w:b/>
          <w:bCs/>
          <w:kern w:val="2"/>
          <w:sz w:val="28"/>
          <w:szCs w:val="28"/>
          <w:lang w:val="en-US" w:eastAsia="zh-CN" w:bidi="ar-SA"/>
        </w:rPr>
        <w:t>3.</w:t>
      </w:r>
      <w:r>
        <w:rPr>
          <w:rFonts w:hint="eastAsia" w:ascii="Times New Roman" w:hAnsi="Times New Roman" w:eastAsia="宋体" w:cs="Times New Roman"/>
          <w:b/>
          <w:bCs/>
          <w:kern w:val="2"/>
          <w:sz w:val="28"/>
          <w:szCs w:val="28"/>
          <w:lang w:val="en-US" w:eastAsia="zh-CN" w:bidi="ar-SA"/>
        </w:rPr>
        <w:t>7</w:t>
      </w:r>
      <w:r>
        <w:rPr>
          <w:rFonts w:ascii="Times New Roman" w:hAnsi="Times New Roman" w:eastAsia="宋体" w:cs="Times New Roman"/>
          <w:b/>
          <w:bCs/>
          <w:kern w:val="2"/>
          <w:sz w:val="28"/>
          <w:szCs w:val="28"/>
          <w:lang w:val="en-US" w:eastAsia="zh-CN" w:bidi="ar-SA"/>
        </w:rPr>
        <w:t>.2.6供水安全保障</w:t>
      </w:r>
    </w:p>
    <w:p w14:paraId="4378A9E9">
      <w:r>
        <w:t>向董家峪水厂通报应急监测信息制度，并在启动预警时第一时间通知水厂。水厂应根据污染物的种类、浓度、可能影响取水的时间</w:t>
      </w:r>
      <w:r>
        <w:rPr>
          <w:rFonts w:hint="eastAsia" w:ascii="Times New Roman" w:eastAsia="宋体"/>
          <w:lang w:val="en-US" w:eastAsia="zh-CN"/>
        </w:rPr>
        <w:t>情况</w:t>
      </w:r>
      <w:r>
        <w:t>，及时采取低压供水</w:t>
      </w:r>
      <w:r>
        <w:rPr>
          <w:rFonts w:hint="eastAsia" w:eastAsia="宋体"/>
          <w:lang w:eastAsia="zh-CN"/>
        </w:rPr>
        <w:t>、</w:t>
      </w:r>
      <w:r>
        <w:rPr>
          <w:rFonts w:hint="eastAsia"/>
        </w:rPr>
        <w:t>采取</w:t>
      </w:r>
      <w:r>
        <w:t>应急供水车</w:t>
      </w:r>
      <w:r>
        <w:rPr>
          <w:rFonts w:hint="eastAsia" w:ascii="Times New Roman" w:eastAsia="宋体"/>
          <w:lang w:val="en-US" w:eastAsia="zh-CN"/>
        </w:rPr>
        <w:t>或索溪水厂供水（董家峪水厂已与索溪水厂并网，能够提供重大旱情下安全供水</w:t>
      </w:r>
      <w:r>
        <w:rPr>
          <w:rFonts w:hint="eastAsia"/>
          <w:lang w:val="en-US" w:eastAsia="zh-CN"/>
        </w:rPr>
        <w:t>保障</w:t>
      </w:r>
      <w:r>
        <w:rPr>
          <w:rFonts w:hint="eastAsia" w:ascii="Times New Roman" w:eastAsia="宋体"/>
          <w:lang w:val="en-US" w:eastAsia="zh-CN"/>
        </w:rPr>
        <w:t>）</w:t>
      </w:r>
      <w:r>
        <w:t>等应急措施保障居民用水，并加强污染物监测，待水质满足取水要求时恢复取水和供水。</w:t>
      </w:r>
    </w:p>
    <w:p w14:paraId="2114E34D">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54" w:name="_Toc16273"/>
      <w:bookmarkStart w:id="155" w:name="_Toc25843"/>
      <w:bookmarkStart w:id="156" w:name="_Toc31750"/>
      <w:bookmarkStart w:id="157" w:name="_Toc31878"/>
      <w:bookmarkStart w:id="158" w:name="_Toc22046"/>
      <w:bookmarkStart w:id="159" w:name="_Toc27936"/>
      <w:bookmarkStart w:id="160" w:name="_Toc7478"/>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8</w:t>
      </w:r>
      <w:r>
        <w:rPr>
          <w:rFonts w:ascii="Times New Roman" w:hAnsi="Times New Roman" w:eastAsia="宋体" w:cs="Times New Roman"/>
          <w:b/>
          <w:bCs/>
          <w:kern w:val="2"/>
          <w:sz w:val="30"/>
          <w:szCs w:val="32"/>
          <w:lang w:val="en-US" w:eastAsia="zh-CN" w:bidi="ar-SA"/>
        </w:rPr>
        <w:t>物资调集及应急设施启用</w:t>
      </w:r>
      <w:bookmarkEnd w:id="154"/>
      <w:bookmarkEnd w:id="155"/>
      <w:bookmarkEnd w:id="156"/>
      <w:bookmarkEnd w:id="157"/>
      <w:bookmarkEnd w:id="158"/>
      <w:bookmarkEnd w:id="159"/>
      <w:bookmarkEnd w:id="160"/>
    </w:p>
    <w:p w14:paraId="472D2321">
      <w:r>
        <w:t>应急物资、装备和设施包括以下内容，具体物资见第一部分内容：</w:t>
      </w:r>
    </w:p>
    <w:p w14:paraId="3749E976">
      <w:r>
        <w:t>（1）控制和消除污染物的物资、装备和设施，如中和剂、灭火剂、解毒剂、吸收剂等。</w:t>
      </w:r>
    </w:p>
    <w:p w14:paraId="4A0BFA31">
      <w:r>
        <w:t>（2）针对水华灾害，消除有毒有害物质产生条件、清除藻类的物资、装备和设施，如充气艇、除藻设施等。</w:t>
      </w:r>
    </w:p>
    <w:p w14:paraId="11462BA2">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61" w:name="_Toc9072"/>
      <w:bookmarkStart w:id="162" w:name="_Toc15305"/>
      <w:bookmarkStart w:id="163" w:name="_Toc5013"/>
      <w:bookmarkStart w:id="164" w:name="_Toc23621"/>
      <w:bookmarkStart w:id="165" w:name="_Toc18790"/>
      <w:bookmarkStart w:id="166" w:name="_Toc31092"/>
      <w:bookmarkStart w:id="167" w:name="_Toc1834"/>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9</w:t>
      </w:r>
      <w:r>
        <w:rPr>
          <w:rFonts w:ascii="Times New Roman" w:hAnsi="Times New Roman" w:eastAsia="宋体" w:cs="Times New Roman"/>
          <w:b/>
          <w:bCs/>
          <w:kern w:val="2"/>
          <w:sz w:val="30"/>
          <w:szCs w:val="32"/>
          <w:lang w:val="en-US" w:eastAsia="zh-CN" w:bidi="ar-SA"/>
        </w:rPr>
        <w:t>舆情监测与信息发布</w:t>
      </w:r>
      <w:bookmarkEnd w:id="161"/>
      <w:bookmarkEnd w:id="162"/>
      <w:bookmarkEnd w:id="163"/>
      <w:bookmarkEnd w:id="164"/>
      <w:bookmarkEnd w:id="165"/>
      <w:bookmarkEnd w:id="166"/>
      <w:bookmarkEnd w:id="167"/>
    </w:p>
    <w:p w14:paraId="3FC33F32">
      <w:r>
        <w:t>现场应急指挥部在突发环境事件发生后，应第一时间向社会发布信息，并针对舆情及时发布事件原因、影响区域、已采取的措施及成效、公众应注意的防范措施、热线电话等。</w:t>
      </w:r>
    </w:p>
    <w:p w14:paraId="5F3B66A9">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68" w:name="_Toc5085"/>
      <w:bookmarkStart w:id="169" w:name="_Toc3236"/>
      <w:bookmarkStart w:id="170" w:name="_Toc31914"/>
      <w:bookmarkStart w:id="171" w:name="_Toc31012"/>
      <w:bookmarkStart w:id="172" w:name="_Toc930"/>
      <w:bookmarkStart w:id="173" w:name="_Toc10487"/>
      <w:bookmarkStart w:id="174" w:name="_Toc11043"/>
      <w:r>
        <w:rPr>
          <w:rFonts w:ascii="Times New Roman" w:hAnsi="Times New Roman" w:eastAsia="宋体" w:cs="Times New Roman"/>
          <w:b/>
          <w:bCs/>
          <w:kern w:val="2"/>
          <w:sz w:val="30"/>
          <w:szCs w:val="32"/>
          <w:lang w:val="en-US" w:eastAsia="zh-CN" w:bidi="ar-SA"/>
        </w:rPr>
        <w:t>3.</w:t>
      </w:r>
      <w:r>
        <w:rPr>
          <w:rFonts w:hint="eastAsia" w:ascii="Times New Roman" w:hAnsi="Times New Roman" w:eastAsia="宋体" w:cs="Times New Roman"/>
          <w:b/>
          <w:bCs/>
          <w:kern w:val="2"/>
          <w:sz w:val="30"/>
          <w:szCs w:val="32"/>
          <w:lang w:val="en-US" w:eastAsia="zh-CN" w:bidi="ar-SA"/>
        </w:rPr>
        <w:t>10</w:t>
      </w:r>
      <w:r>
        <w:rPr>
          <w:rFonts w:ascii="Times New Roman" w:hAnsi="Times New Roman" w:eastAsia="宋体" w:cs="Times New Roman"/>
          <w:b/>
          <w:bCs/>
          <w:kern w:val="2"/>
          <w:sz w:val="30"/>
          <w:szCs w:val="32"/>
          <w:lang w:val="en-US" w:eastAsia="zh-CN" w:bidi="ar-SA"/>
        </w:rPr>
        <w:t>响应终止</w:t>
      </w:r>
      <w:bookmarkEnd w:id="168"/>
      <w:bookmarkEnd w:id="169"/>
      <w:bookmarkEnd w:id="170"/>
      <w:bookmarkEnd w:id="171"/>
      <w:bookmarkEnd w:id="172"/>
      <w:bookmarkEnd w:id="173"/>
      <w:bookmarkEnd w:id="174"/>
    </w:p>
    <w:p w14:paraId="18C78EC4">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10</w:t>
      </w:r>
      <w:r>
        <w:rPr>
          <w:rFonts w:ascii="Cambria" w:hAnsi="Cambria" w:eastAsia="宋体" w:cs="Times New Roman"/>
          <w:b/>
          <w:bCs/>
          <w:kern w:val="2"/>
          <w:sz w:val="28"/>
          <w:szCs w:val="28"/>
          <w:lang w:val="en-US" w:eastAsia="zh-CN" w:bidi="ar-SA"/>
        </w:rPr>
        <w:t>.1响应终止条件</w:t>
      </w:r>
    </w:p>
    <w:p w14:paraId="3AB1D682">
      <w:r>
        <w:t>符合下列情形之一的，可终止应急响应：</w:t>
      </w:r>
    </w:p>
    <w:p w14:paraId="32852446">
      <w:r>
        <w:t>①进入水源保护区范围的污染物已成功围堵，且清运至水源保护区外，未向水域扩散时；</w:t>
      </w:r>
    </w:p>
    <w:p w14:paraId="3CF64536">
      <w:r>
        <w:t>②进入水源保护区水域范围的污染团已成功拦截或导流至水源保护区外，没有向取水口扩散的风险，且水质监测结果稳定达标；</w:t>
      </w:r>
    </w:p>
    <w:p w14:paraId="114DAC8E">
      <w:r>
        <w:t>③水质监测结果尚未稳定达标，但根据应急专家组建议可恢复正常取水时。</w:t>
      </w:r>
    </w:p>
    <w:p w14:paraId="6F0EBC1D">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ascii="Cambria" w:hAnsi="Cambria" w:eastAsia="宋体" w:cs="Times New Roman"/>
          <w:b/>
          <w:bCs/>
          <w:kern w:val="2"/>
          <w:sz w:val="28"/>
          <w:szCs w:val="28"/>
          <w:lang w:val="en-US" w:eastAsia="zh-CN" w:bidi="ar-SA"/>
        </w:rPr>
        <w:t>3.</w:t>
      </w:r>
      <w:r>
        <w:rPr>
          <w:rFonts w:hint="eastAsia" w:ascii="Cambria" w:hAnsi="Cambria" w:eastAsia="宋体" w:cs="Times New Roman"/>
          <w:b/>
          <w:bCs/>
          <w:kern w:val="2"/>
          <w:sz w:val="28"/>
          <w:szCs w:val="28"/>
          <w:lang w:val="en-US" w:eastAsia="zh-CN" w:bidi="ar-SA"/>
        </w:rPr>
        <w:t>10</w:t>
      </w:r>
      <w:r>
        <w:rPr>
          <w:rFonts w:ascii="Cambria" w:hAnsi="Cambria" w:eastAsia="宋体" w:cs="Times New Roman"/>
          <w:b/>
          <w:bCs/>
          <w:kern w:val="2"/>
          <w:sz w:val="28"/>
          <w:szCs w:val="28"/>
          <w:lang w:val="en-US" w:eastAsia="zh-CN" w:bidi="ar-SA"/>
        </w:rPr>
        <w:t>.2响应终止程序</w:t>
      </w:r>
    </w:p>
    <w:p w14:paraId="7E29A3D1">
      <w:r>
        <w:t>（1）现场环境应急救援指挥部确认终止时机，经专家组评估确认后，经现场环境应急救援指挥部批准</w:t>
      </w:r>
      <w:r>
        <w:rPr>
          <w:rFonts w:hint="eastAsia"/>
        </w:rPr>
        <w:t>，由区委宣传部发布终止信息，主要发送渠道为网络公告，发布对象为武陵源全区。</w:t>
      </w:r>
    </w:p>
    <w:p w14:paraId="72E1AA91">
      <w:r>
        <w:t>（2）现场环境应急救援指挥部向所属各专业应急救援队伍下达应急终止命令。</w:t>
      </w:r>
    </w:p>
    <w:p w14:paraId="062B9F1E">
      <w:r>
        <w:t>（3）应急状态终止后，相关类别环境事件专业应急救援队伍应根据现场环境应急救援指挥部指挥长有关指示和现场实际情况，继续进行环境监测和评价工作，直至其他补救措施无需继续进行为止。</w:t>
      </w:r>
    </w:p>
    <w:p w14:paraId="38029C05">
      <w:pPr>
        <w:keepNext/>
        <w:keepLines/>
        <w:widowControl w:val="0"/>
        <w:spacing w:before="300" w:after="300" w:line="579" w:lineRule="auto"/>
        <w:ind w:firstLine="0" w:firstLineChars="0"/>
        <w:jc w:val="both"/>
        <w:outlineLvl w:val="0"/>
        <w:rPr>
          <w:rFonts w:ascii="Times New Roman" w:hAnsi="Times New Roman" w:eastAsia="宋体" w:cs="Times New Roman"/>
          <w:b/>
          <w:bCs/>
          <w:kern w:val="44"/>
          <w:sz w:val="32"/>
          <w:szCs w:val="44"/>
          <w:lang w:val="en-US" w:eastAsia="zh-CN" w:bidi="ar-SA"/>
        </w:rPr>
      </w:pPr>
      <w:bookmarkStart w:id="175" w:name="_Toc9906"/>
      <w:bookmarkStart w:id="176" w:name="_Toc9502"/>
      <w:bookmarkStart w:id="177" w:name="_Toc12073"/>
      <w:bookmarkStart w:id="178" w:name="_Toc28079"/>
      <w:bookmarkStart w:id="179" w:name="_Toc20262"/>
      <w:bookmarkStart w:id="180" w:name="_Toc8484"/>
      <w:bookmarkStart w:id="181" w:name="_Toc12934"/>
      <w:r>
        <w:rPr>
          <w:rFonts w:hint="eastAsia" w:ascii="Times New Roman" w:hAnsi="Times New Roman" w:eastAsia="宋体" w:cs="Times New Roman"/>
          <w:b/>
          <w:bCs/>
          <w:kern w:val="44"/>
          <w:sz w:val="32"/>
          <w:szCs w:val="44"/>
          <w:lang w:val="en-US" w:eastAsia="zh-CN" w:bidi="ar-SA"/>
        </w:rPr>
        <w:t>4</w:t>
      </w:r>
      <w:r>
        <w:rPr>
          <w:rFonts w:ascii="Times New Roman" w:hAnsi="Times New Roman" w:eastAsia="宋体" w:cs="Times New Roman"/>
          <w:b/>
          <w:bCs/>
          <w:kern w:val="44"/>
          <w:sz w:val="32"/>
          <w:szCs w:val="44"/>
          <w:lang w:val="en-US" w:eastAsia="zh-CN" w:bidi="ar-SA"/>
        </w:rPr>
        <w:t>、后期工作</w:t>
      </w:r>
      <w:bookmarkEnd w:id="175"/>
      <w:bookmarkEnd w:id="176"/>
      <w:bookmarkEnd w:id="177"/>
      <w:bookmarkEnd w:id="178"/>
      <w:bookmarkEnd w:id="179"/>
      <w:bookmarkEnd w:id="180"/>
      <w:bookmarkEnd w:id="181"/>
    </w:p>
    <w:p w14:paraId="1C99091C">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82" w:name="_Toc9155"/>
      <w:bookmarkStart w:id="183" w:name="_Toc27453"/>
      <w:bookmarkStart w:id="184" w:name="_Toc22426"/>
      <w:bookmarkStart w:id="185" w:name="_Toc26106"/>
      <w:bookmarkStart w:id="186" w:name="_Toc26570"/>
      <w:bookmarkStart w:id="187" w:name="_Toc30720"/>
      <w:bookmarkStart w:id="188" w:name="_Toc14339"/>
      <w:r>
        <w:rPr>
          <w:rFonts w:ascii="Times New Roman" w:hAnsi="Times New Roman" w:eastAsia="宋体" w:cs="Times New Roman"/>
          <w:b/>
          <w:bCs/>
          <w:kern w:val="2"/>
          <w:sz w:val="30"/>
          <w:szCs w:val="32"/>
          <w:lang w:val="en-US" w:eastAsia="zh-CN" w:bidi="ar-SA"/>
        </w:rPr>
        <w:t>4.1后期防控</w:t>
      </w:r>
      <w:bookmarkEnd w:id="182"/>
      <w:bookmarkEnd w:id="183"/>
      <w:bookmarkEnd w:id="184"/>
      <w:bookmarkEnd w:id="185"/>
      <w:bookmarkEnd w:id="186"/>
      <w:bookmarkEnd w:id="187"/>
      <w:bookmarkEnd w:id="188"/>
    </w:p>
    <w:p w14:paraId="007C4021">
      <w:r>
        <w:t>（1）武陵源区政府及相关部门组织专业队伍负责实施污染事故事发地的后期现场清理和污染物处理；事故场地及</w:t>
      </w:r>
      <w:r>
        <w:rPr>
          <w:rFonts w:hint="eastAsia"/>
        </w:rPr>
        <w:t>蔓延</w:t>
      </w:r>
      <w:r>
        <w:t>区域的污染物清除完成后，对土壤或水生态系统进行修复；部分污染物导流到水源地下游或其他区域，对这些区域的污染物进行清除，防止次生、衍生和耦合事件发生。</w:t>
      </w:r>
    </w:p>
    <w:p w14:paraId="1E943730">
      <w:r>
        <w:t>（2）应急过程评价。由区</w:t>
      </w:r>
      <w:r>
        <w:rPr>
          <w:rFonts w:hint="eastAsia"/>
        </w:rPr>
        <w:t>应急管理局与</w:t>
      </w:r>
      <w:r>
        <w:rPr>
          <w:rFonts w:hint="eastAsia"/>
          <w:lang w:eastAsia="zh-CN"/>
        </w:rPr>
        <w:t>市生态环境局武陵源分局</w:t>
      </w:r>
      <w:r>
        <w:t>领导小组组织有关专家，会同相关部门组织评估应急过程，总结经验与教训。</w:t>
      </w:r>
    </w:p>
    <w:p w14:paraId="5E139F9D">
      <w:r>
        <w:t>（3）根据实践经验，有关类别环境事件专业主管部门负责组织对应急预案进行评估，并及时修订环境应急预案。</w:t>
      </w:r>
    </w:p>
    <w:p w14:paraId="582CB163">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89" w:name="_Toc6934"/>
      <w:bookmarkStart w:id="190" w:name="_Toc32767"/>
      <w:bookmarkStart w:id="191" w:name="_Toc9"/>
      <w:bookmarkStart w:id="192" w:name="_Toc11529"/>
      <w:bookmarkStart w:id="193" w:name="_Toc12790"/>
      <w:bookmarkStart w:id="194" w:name="_Toc27221"/>
      <w:bookmarkStart w:id="195" w:name="_Toc24939"/>
      <w:r>
        <w:rPr>
          <w:rFonts w:ascii="Times New Roman" w:hAnsi="Times New Roman" w:eastAsia="宋体" w:cs="Times New Roman"/>
          <w:b/>
          <w:bCs/>
          <w:kern w:val="2"/>
          <w:sz w:val="30"/>
          <w:szCs w:val="32"/>
          <w:lang w:val="en-US" w:eastAsia="zh-CN" w:bidi="ar-SA"/>
        </w:rPr>
        <w:t>4.2事件调查</w:t>
      </w:r>
      <w:bookmarkEnd w:id="189"/>
      <w:bookmarkEnd w:id="190"/>
      <w:bookmarkEnd w:id="191"/>
      <w:bookmarkEnd w:id="192"/>
      <w:bookmarkEnd w:id="193"/>
      <w:bookmarkEnd w:id="194"/>
    </w:p>
    <w:p w14:paraId="3B0DF265">
      <w:r>
        <w:t>事件调查是针对董家峪水库饮用水水源地突发环境事件进行后期详细调查，在初步消除污染源对</w:t>
      </w:r>
      <w:r>
        <w:rPr>
          <w:rFonts w:hint="eastAsia"/>
        </w:rPr>
        <w:t>饮用水水</w:t>
      </w:r>
      <w:r>
        <w:t>源地的影响后，以区纪委与</w:t>
      </w:r>
      <w:r>
        <w:rPr>
          <w:rFonts w:hint="eastAsia"/>
          <w:lang w:eastAsia="zh-CN"/>
        </w:rPr>
        <w:t>市公安局武陵源分局</w:t>
      </w:r>
      <w:r>
        <w:t>牵头，联合多个部门，通过监测数据进行污染源分析、明察暗访等方式</w:t>
      </w:r>
      <w:r>
        <w:rPr>
          <w:rFonts w:hint="eastAsia"/>
        </w:rPr>
        <w:t>，</w:t>
      </w:r>
      <w:r>
        <w:t>明确事件性质分类，根据自然条件和社会经济特征，采取自然灾害、违法违规、生产事故等类别进行区分，根据不同类别区分，明确事故责任人。</w:t>
      </w:r>
    </w:p>
    <w:p w14:paraId="6F7589D1">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196" w:name="_Toc18337"/>
      <w:bookmarkStart w:id="197" w:name="_Toc9549"/>
      <w:bookmarkStart w:id="198" w:name="_Toc17681"/>
      <w:bookmarkStart w:id="199" w:name="_Toc31206"/>
      <w:bookmarkStart w:id="200" w:name="_Toc14930"/>
      <w:bookmarkStart w:id="201" w:name="_Toc4649"/>
      <w:r>
        <w:rPr>
          <w:rFonts w:ascii="Times New Roman" w:hAnsi="Times New Roman" w:eastAsia="宋体" w:cs="Times New Roman"/>
          <w:b/>
          <w:bCs/>
          <w:kern w:val="2"/>
          <w:sz w:val="30"/>
          <w:szCs w:val="32"/>
          <w:lang w:val="en-US" w:eastAsia="zh-CN" w:bidi="ar-SA"/>
        </w:rPr>
        <w:t>4.3损害评估</w:t>
      </w:r>
      <w:bookmarkEnd w:id="195"/>
      <w:bookmarkEnd w:id="196"/>
      <w:bookmarkEnd w:id="197"/>
      <w:bookmarkEnd w:id="198"/>
      <w:bookmarkEnd w:id="199"/>
      <w:bookmarkEnd w:id="200"/>
      <w:bookmarkEnd w:id="201"/>
    </w:p>
    <w:p w14:paraId="6F98D372">
      <w:r>
        <w:t>应急终止后，应急组织指挥机构组织具备一定环境科学、环境经济和水质安全防控等学科背景的专业组织或机构开展评估。</w:t>
      </w:r>
      <w:r>
        <w:rPr>
          <w:rFonts w:hint="eastAsia"/>
          <w:lang w:eastAsia="zh-CN"/>
        </w:rPr>
        <w:t>市生态环境局武陵源分局</w:t>
      </w:r>
      <w:r>
        <w:t>配合提供事件应急处置和事件损害基本信息</w:t>
      </w:r>
      <w:r>
        <w:rPr>
          <w:rFonts w:hint="eastAsia"/>
          <w:lang w:eastAsia="zh-CN"/>
        </w:rPr>
        <w:t>，由</w:t>
      </w:r>
      <w:r>
        <w:t>评估组织或机构制定详细的评估工作计划，重点分类统计突发事件造成的财产损害、事件应急处置费用、水源地环境修复费用等，科学量化事件造成的损失数额。</w:t>
      </w:r>
    </w:p>
    <w:p w14:paraId="04AE1C00">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02" w:name="_Toc22455"/>
      <w:bookmarkStart w:id="203" w:name="_Toc10721"/>
      <w:bookmarkStart w:id="204" w:name="_Toc5528"/>
      <w:bookmarkStart w:id="205" w:name="_Toc22703"/>
      <w:bookmarkStart w:id="206" w:name="_Toc12869"/>
      <w:bookmarkStart w:id="207" w:name="_Toc28339"/>
      <w:bookmarkStart w:id="208" w:name="_Toc26136"/>
      <w:r>
        <w:rPr>
          <w:rFonts w:ascii="Times New Roman" w:hAnsi="Times New Roman" w:eastAsia="宋体" w:cs="Times New Roman"/>
          <w:b/>
          <w:bCs/>
          <w:kern w:val="2"/>
          <w:sz w:val="30"/>
          <w:szCs w:val="32"/>
          <w:lang w:val="en-US" w:eastAsia="zh-CN" w:bidi="ar-SA"/>
        </w:rPr>
        <w:t>4.4善后处置</w:t>
      </w:r>
      <w:bookmarkEnd w:id="202"/>
      <w:bookmarkEnd w:id="203"/>
      <w:bookmarkEnd w:id="204"/>
      <w:bookmarkEnd w:id="205"/>
      <w:bookmarkEnd w:id="206"/>
      <w:bookmarkEnd w:id="207"/>
      <w:bookmarkEnd w:id="208"/>
    </w:p>
    <w:p w14:paraId="0C56B11F">
      <w:r>
        <w:t>（1）在区委、区政府统一指挥下，各有关部门在各自的职责范围内组织实施善后处置工作，组织有关专家对受灾范围进行科学评估，提出补偿和对遭受污染的生态环境进行恢复和监管的建议。</w:t>
      </w:r>
    </w:p>
    <w:p w14:paraId="7D8564D0">
      <w:r>
        <w:t>（2）各部门应当做好安民、安抚、理赔工作，相应机构应当做好社会救助、保险赔付等工作。</w:t>
      </w:r>
    </w:p>
    <w:p w14:paraId="7DB851AC">
      <w:r>
        <w:t>（3）参加应急行动的部门负责组织、指导环境应急队伍维护、保养应急仪器设备，使之始终保持良好的技术状态。</w:t>
      </w:r>
    </w:p>
    <w:p w14:paraId="6A097838">
      <w:r>
        <w:t>（4）</w:t>
      </w:r>
      <w:r>
        <w:rPr>
          <w:rFonts w:hint="eastAsia"/>
          <w:lang w:eastAsia="zh-CN"/>
        </w:rPr>
        <w:t>市生态环境局武陵源分局</w:t>
      </w:r>
      <w:r>
        <w:t>、</w:t>
      </w:r>
      <w:r>
        <w:rPr>
          <w:rFonts w:hint="eastAsia"/>
          <w:lang w:eastAsia="zh-CN"/>
        </w:rPr>
        <w:t>区卫生健康局</w:t>
      </w:r>
      <w:r>
        <w:t>继续跟踪饮用水源水质的监测，及时掌握情况，做好处置。</w:t>
      </w:r>
    </w:p>
    <w:p w14:paraId="2FDFAB9D">
      <w:pPr>
        <w:keepNext/>
        <w:keepLines/>
        <w:widowControl w:val="0"/>
        <w:spacing w:before="200" w:after="100" w:line="416" w:lineRule="auto"/>
        <w:ind w:firstLine="0" w:firstLineChars="0"/>
        <w:jc w:val="both"/>
        <w:outlineLvl w:val="1"/>
        <w:rPr>
          <w:rFonts w:ascii="Cambria" w:hAnsi="Cambria" w:eastAsia="宋体" w:cs="Times New Roman"/>
          <w:b/>
          <w:bCs/>
          <w:kern w:val="2"/>
          <w:sz w:val="30"/>
          <w:szCs w:val="32"/>
          <w:lang w:val="en-US" w:eastAsia="zh-CN" w:bidi="ar-SA"/>
        </w:rPr>
      </w:pPr>
      <w:bookmarkStart w:id="209" w:name="_Toc13480"/>
      <w:bookmarkStart w:id="210" w:name="_Toc13751"/>
      <w:bookmarkStart w:id="211" w:name="_Toc8736"/>
      <w:bookmarkStart w:id="212" w:name="_Toc22733"/>
      <w:bookmarkStart w:id="213" w:name="_Toc7906"/>
      <w:bookmarkStart w:id="214" w:name="_Toc21247"/>
      <w:bookmarkStart w:id="215" w:name="_Toc21667"/>
      <w:r>
        <w:rPr>
          <w:rFonts w:hint="eastAsia" w:ascii="Cambria" w:hAnsi="Cambria" w:eastAsia="宋体" w:cs="Times New Roman"/>
          <w:b/>
          <w:bCs/>
          <w:kern w:val="2"/>
          <w:sz w:val="30"/>
          <w:szCs w:val="32"/>
          <w:lang w:val="en-US" w:eastAsia="zh-CN" w:bidi="ar-SA"/>
        </w:rPr>
        <w:t>5</w:t>
      </w:r>
      <w:r>
        <w:rPr>
          <w:rFonts w:ascii="Cambria" w:hAnsi="Cambria" w:eastAsia="宋体" w:cs="Times New Roman"/>
          <w:b/>
          <w:bCs/>
          <w:kern w:val="2"/>
          <w:sz w:val="30"/>
          <w:szCs w:val="32"/>
          <w:lang w:val="en-US" w:eastAsia="zh-CN" w:bidi="ar-SA"/>
        </w:rPr>
        <w:t>、应急保障</w:t>
      </w:r>
      <w:bookmarkEnd w:id="209"/>
      <w:bookmarkEnd w:id="210"/>
      <w:bookmarkEnd w:id="211"/>
      <w:bookmarkEnd w:id="212"/>
      <w:bookmarkEnd w:id="213"/>
      <w:bookmarkEnd w:id="214"/>
      <w:bookmarkEnd w:id="215"/>
    </w:p>
    <w:p w14:paraId="5AA32F33">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16" w:name="_Toc10061"/>
      <w:bookmarkStart w:id="217" w:name="_Toc22037"/>
      <w:bookmarkStart w:id="218" w:name="_Toc26592"/>
      <w:bookmarkStart w:id="219" w:name="_Toc23832"/>
      <w:bookmarkStart w:id="220" w:name="_Toc29851"/>
      <w:bookmarkStart w:id="221" w:name="_Toc23313"/>
      <w:bookmarkStart w:id="222" w:name="_Toc24399"/>
      <w:r>
        <w:rPr>
          <w:rFonts w:ascii="Times New Roman" w:hAnsi="Times New Roman" w:eastAsia="宋体" w:cs="Times New Roman"/>
          <w:b/>
          <w:bCs/>
          <w:kern w:val="2"/>
          <w:sz w:val="30"/>
          <w:szCs w:val="32"/>
          <w:lang w:val="en-US" w:eastAsia="zh-CN" w:bidi="ar-SA"/>
        </w:rPr>
        <w:t>5.1通讯与信息保障</w:t>
      </w:r>
      <w:bookmarkEnd w:id="216"/>
      <w:bookmarkEnd w:id="217"/>
      <w:bookmarkEnd w:id="218"/>
      <w:bookmarkEnd w:id="219"/>
      <w:bookmarkEnd w:id="220"/>
      <w:bookmarkEnd w:id="221"/>
      <w:bookmarkEnd w:id="222"/>
    </w:p>
    <w:p w14:paraId="4F176E89">
      <w:r>
        <w:t>指挥机构建立和完善环境安全应急指挥系统、环境应急处置联动系统和环境安全科学预警系统，配备必要的有线、无线通信器材，确保本预案启动时应急指挥部、各专业应急救援队伍之间的联络畅通。电信运营各单位要将环境应急相关专业部门列入重要通信用户，保障应急通信。</w:t>
      </w:r>
    </w:p>
    <w:p w14:paraId="6E666F85">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23" w:name="_Toc25366"/>
      <w:bookmarkStart w:id="224" w:name="_Toc5961"/>
      <w:bookmarkStart w:id="225" w:name="_Toc24246"/>
      <w:bookmarkStart w:id="226" w:name="_Toc7668"/>
      <w:bookmarkStart w:id="227" w:name="_Toc6651"/>
      <w:bookmarkStart w:id="228" w:name="_Toc27708"/>
      <w:bookmarkStart w:id="229" w:name="_Toc14787"/>
      <w:r>
        <w:rPr>
          <w:rFonts w:ascii="Times New Roman" w:hAnsi="Times New Roman" w:eastAsia="宋体" w:cs="Times New Roman"/>
          <w:b/>
          <w:bCs/>
          <w:kern w:val="2"/>
          <w:sz w:val="30"/>
          <w:szCs w:val="32"/>
          <w:lang w:val="en-US" w:eastAsia="zh-CN" w:bidi="ar-SA"/>
        </w:rPr>
        <w:t>5.2应急队伍保障</w:t>
      </w:r>
      <w:bookmarkEnd w:id="223"/>
      <w:bookmarkEnd w:id="224"/>
      <w:bookmarkEnd w:id="225"/>
      <w:bookmarkEnd w:id="226"/>
      <w:bookmarkEnd w:id="227"/>
      <w:bookmarkEnd w:id="228"/>
      <w:bookmarkEnd w:id="229"/>
    </w:p>
    <w:p w14:paraId="3E8BA306">
      <w:r>
        <w:t>加强环境应急队伍的建设，建立和培训一支常备不懈，掌握处置</w:t>
      </w:r>
      <w:r>
        <w:rPr>
          <w:rFonts w:hint="eastAsia"/>
        </w:rPr>
        <w:t>饮用水水</w:t>
      </w:r>
      <w:r>
        <w:t>源</w:t>
      </w:r>
      <w:r>
        <w:rPr>
          <w:rFonts w:hint="eastAsia"/>
        </w:rPr>
        <w:t>地</w:t>
      </w:r>
      <w:r>
        <w:t>突发污染事故能力的应急力量。应急救援机构和人员通讯录见第一部分内容第六章节。</w:t>
      </w:r>
    </w:p>
    <w:p w14:paraId="3C702C6E">
      <w:r>
        <w:t>应急队伍培训应每年一次，包括信息报告、个体防护、应急资源使用、应急监测布点及监测方法、应急处置方法等培训科目。要做好日常的应急准备，包括车辆、检测仪器及有关防护用具、药品等。不定期组织实战演练，提高处置的技能。</w:t>
      </w:r>
    </w:p>
    <w:p w14:paraId="4449ED05">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30" w:name="_Toc13177"/>
      <w:bookmarkStart w:id="231" w:name="_Toc25336"/>
      <w:bookmarkStart w:id="232" w:name="_Toc27917"/>
      <w:bookmarkStart w:id="233" w:name="_Toc17325"/>
      <w:bookmarkStart w:id="234" w:name="_Toc7859"/>
      <w:bookmarkStart w:id="235" w:name="_Toc12323"/>
      <w:bookmarkStart w:id="236" w:name="_Toc13333"/>
      <w:r>
        <w:rPr>
          <w:rFonts w:ascii="Times New Roman" w:hAnsi="Times New Roman" w:eastAsia="宋体" w:cs="Times New Roman"/>
          <w:b/>
          <w:bCs/>
          <w:kern w:val="2"/>
          <w:sz w:val="30"/>
          <w:szCs w:val="32"/>
          <w:lang w:val="en-US" w:eastAsia="zh-CN" w:bidi="ar-SA"/>
        </w:rPr>
        <w:t>5.3应急资源保障</w:t>
      </w:r>
      <w:bookmarkEnd w:id="230"/>
      <w:bookmarkEnd w:id="231"/>
      <w:bookmarkEnd w:id="232"/>
      <w:bookmarkEnd w:id="233"/>
      <w:bookmarkEnd w:id="234"/>
      <w:bookmarkEnd w:id="235"/>
      <w:bookmarkEnd w:id="236"/>
    </w:p>
    <w:p w14:paraId="36602238">
      <w:r>
        <w:t>政府及相关专业指挥机构的应急队伍要根据《武陵源区突发环境事件应急预案》要求，建立处理突发环境事件的日常和战时两级物资储备，增加储备必要的应急处置、快速机动和自身防护装备和物资，维护、保养好应急仪器和设备，使之始终保持良好的技术状态，确保参加处置突发环境事件时救助人员的自身安全，及时有效地防止环境污染和扩散。具体应急物资见第一部分内容第六章节</w:t>
      </w:r>
    </w:p>
    <w:p w14:paraId="5881A64E">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37" w:name="_Toc11750"/>
      <w:bookmarkStart w:id="238" w:name="_Toc11830"/>
      <w:bookmarkStart w:id="239" w:name="_Toc25271"/>
      <w:bookmarkStart w:id="240" w:name="_Toc7023"/>
      <w:bookmarkStart w:id="241" w:name="_Toc15024"/>
      <w:bookmarkStart w:id="242" w:name="_Toc12672"/>
      <w:bookmarkStart w:id="243" w:name="_Toc27044"/>
      <w:r>
        <w:rPr>
          <w:rFonts w:ascii="Times New Roman" w:hAnsi="Times New Roman" w:eastAsia="宋体" w:cs="Times New Roman"/>
          <w:b/>
          <w:bCs/>
          <w:kern w:val="2"/>
          <w:sz w:val="30"/>
          <w:szCs w:val="32"/>
          <w:lang w:val="en-US" w:eastAsia="zh-CN" w:bidi="ar-SA"/>
        </w:rPr>
        <w:t>5.4经费保障</w:t>
      </w:r>
      <w:bookmarkEnd w:id="237"/>
      <w:bookmarkEnd w:id="238"/>
      <w:bookmarkEnd w:id="239"/>
      <w:bookmarkEnd w:id="240"/>
      <w:bookmarkEnd w:id="241"/>
      <w:bookmarkEnd w:id="242"/>
      <w:bookmarkEnd w:id="243"/>
    </w:p>
    <w:p w14:paraId="4C6296BD">
      <w:r>
        <w:t>财政部门应保障处置武陵源区董家峪水库饮用水</w:t>
      </w:r>
      <w:r>
        <w:rPr>
          <w:rFonts w:hint="eastAsia"/>
        </w:rPr>
        <w:t>水</w:t>
      </w:r>
      <w:r>
        <w:t>源</w:t>
      </w:r>
      <w:r>
        <w:rPr>
          <w:rFonts w:hint="eastAsia"/>
        </w:rPr>
        <w:t>地</w:t>
      </w:r>
      <w:r>
        <w:t>突发环境事件的应急基础设施建设、救助防护装备、应急监测装备和日常运转经费、突发事件处理经费支出。所需经费列入区政府财政预算，捐助资金纳入财政专户管理，统一安排使用。</w:t>
      </w:r>
    </w:p>
    <w:p w14:paraId="6CF5CF0F">
      <w:pPr>
        <w:keepNext/>
        <w:keepLines/>
        <w:widowControl w:val="0"/>
        <w:spacing w:before="200" w:after="100" w:line="416" w:lineRule="auto"/>
        <w:ind w:firstLine="0" w:firstLineChars="0"/>
        <w:jc w:val="both"/>
        <w:outlineLvl w:val="1"/>
        <w:rPr>
          <w:rFonts w:ascii="Cambria" w:hAnsi="Cambria" w:eastAsia="宋体" w:cs="Times New Roman"/>
          <w:b/>
          <w:bCs/>
          <w:kern w:val="2"/>
          <w:sz w:val="30"/>
          <w:szCs w:val="32"/>
          <w:lang w:val="en-US" w:eastAsia="zh-CN" w:bidi="ar-SA"/>
        </w:rPr>
      </w:pPr>
      <w:bookmarkStart w:id="244" w:name="_Toc524683002"/>
      <w:bookmarkStart w:id="245" w:name="_Toc18574"/>
      <w:bookmarkStart w:id="246" w:name="_Toc996"/>
      <w:bookmarkStart w:id="247" w:name="_Toc18696"/>
      <w:bookmarkStart w:id="248" w:name="_Toc13725"/>
      <w:bookmarkStart w:id="249" w:name="_Toc522607544"/>
      <w:bookmarkStart w:id="250" w:name="_Toc27741"/>
      <w:bookmarkStart w:id="251" w:name="_Toc22696_WPSOffice_Level1"/>
      <w:bookmarkStart w:id="252" w:name="_Toc15875"/>
      <w:bookmarkStart w:id="253" w:name="_Toc2119"/>
      <w:bookmarkStart w:id="254" w:name="_Toc519688380"/>
      <w:r>
        <w:rPr>
          <w:rFonts w:hint="eastAsia" w:ascii="Cambria" w:hAnsi="Cambria" w:eastAsia="宋体" w:cs="Times New Roman"/>
          <w:b/>
          <w:bCs/>
          <w:kern w:val="2"/>
          <w:sz w:val="30"/>
          <w:szCs w:val="32"/>
          <w:lang w:val="en-US" w:eastAsia="zh-CN" w:bidi="ar-SA"/>
        </w:rPr>
        <w:t>6</w:t>
      </w:r>
      <w:r>
        <w:rPr>
          <w:rFonts w:ascii="Cambria" w:hAnsi="Cambria" w:eastAsia="宋体" w:cs="Times New Roman"/>
          <w:b/>
          <w:bCs/>
          <w:kern w:val="2"/>
          <w:sz w:val="30"/>
          <w:szCs w:val="32"/>
          <w:lang w:val="en-US" w:eastAsia="zh-CN" w:bidi="ar-SA"/>
        </w:rPr>
        <w:t>、预案演练</w:t>
      </w:r>
      <w:bookmarkEnd w:id="244"/>
      <w:bookmarkEnd w:id="245"/>
      <w:bookmarkEnd w:id="246"/>
      <w:bookmarkEnd w:id="247"/>
      <w:bookmarkEnd w:id="248"/>
      <w:bookmarkEnd w:id="249"/>
      <w:bookmarkEnd w:id="250"/>
      <w:bookmarkEnd w:id="251"/>
      <w:bookmarkEnd w:id="252"/>
      <w:bookmarkEnd w:id="253"/>
      <w:bookmarkEnd w:id="254"/>
    </w:p>
    <w:p w14:paraId="005FCE52">
      <w:r>
        <w:t>《武陵源区董家峪水库饮用水水源地应急预案》实施后，由</w:t>
      </w:r>
      <w:r>
        <w:rPr>
          <w:rFonts w:hint="eastAsia"/>
        </w:rPr>
        <w:t>区应急管理局</w:t>
      </w:r>
      <w:r>
        <w:t>组织预案演练和修订。应急演练每年一次，演练内容主要包括在事故期间通讯系统是否正常运作、信息报送流程、各小组配合情况、人员应急能力等。要对演练情况进行总结分析、评价，之后及时修订完善预案。</w:t>
      </w:r>
    </w:p>
    <w:p w14:paraId="1FC76797">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55" w:name="_Toc31304"/>
      <w:bookmarkStart w:id="256" w:name="_Toc28646"/>
      <w:bookmarkStart w:id="257" w:name="_Toc32330"/>
      <w:bookmarkStart w:id="258" w:name="_Toc2782"/>
      <w:bookmarkStart w:id="259" w:name="_Toc31032"/>
      <w:bookmarkStart w:id="260" w:name="_Toc21937"/>
      <w:bookmarkStart w:id="261" w:name="_Toc519688381"/>
      <w:bookmarkStart w:id="262" w:name="_Toc522607545"/>
      <w:bookmarkStart w:id="263" w:name="_Toc11234_WPSOffice_Level2"/>
      <w:bookmarkStart w:id="264" w:name="_Toc31638"/>
      <w:r>
        <w:rPr>
          <w:rFonts w:hint="eastAsia" w:ascii="Times New Roman" w:hAnsi="Times New Roman" w:eastAsia="宋体" w:cs="Times New Roman"/>
          <w:b/>
          <w:bCs/>
          <w:kern w:val="2"/>
          <w:sz w:val="30"/>
          <w:szCs w:val="32"/>
          <w:lang w:val="en-US" w:eastAsia="zh-CN" w:bidi="ar-SA"/>
        </w:rPr>
        <w:t>6.1</w:t>
      </w:r>
      <w:r>
        <w:rPr>
          <w:rFonts w:ascii="Times New Roman" w:hAnsi="Times New Roman" w:eastAsia="宋体" w:cs="Times New Roman"/>
          <w:b/>
          <w:bCs/>
          <w:kern w:val="2"/>
          <w:sz w:val="30"/>
          <w:szCs w:val="32"/>
          <w:lang w:val="en-US" w:eastAsia="zh-CN" w:bidi="ar-SA"/>
        </w:rPr>
        <w:t>应急演练</w:t>
      </w:r>
      <w:r>
        <w:rPr>
          <w:rFonts w:hint="eastAsia" w:ascii="Times New Roman" w:hAnsi="Times New Roman" w:eastAsia="宋体" w:cs="Times New Roman"/>
          <w:b/>
          <w:bCs/>
          <w:kern w:val="2"/>
          <w:sz w:val="30"/>
          <w:szCs w:val="32"/>
          <w:lang w:val="en-US" w:eastAsia="zh-CN" w:bidi="ar-SA"/>
        </w:rPr>
        <w:t>的宣传</w:t>
      </w:r>
      <w:bookmarkEnd w:id="255"/>
      <w:bookmarkEnd w:id="256"/>
      <w:bookmarkEnd w:id="257"/>
      <w:bookmarkEnd w:id="258"/>
      <w:bookmarkEnd w:id="259"/>
    </w:p>
    <w:p w14:paraId="4667C964">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6.1.1</w:t>
      </w:r>
      <w:r>
        <w:rPr>
          <w:rFonts w:ascii="Cambria" w:hAnsi="Cambria" w:eastAsia="宋体" w:cs="Times New Roman"/>
          <w:b/>
          <w:bCs/>
          <w:kern w:val="2"/>
          <w:sz w:val="28"/>
          <w:szCs w:val="28"/>
          <w:lang w:val="en-US" w:eastAsia="zh-CN" w:bidi="ar-SA"/>
        </w:rPr>
        <w:t>理论常识和经验学习</w:t>
      </w:r>
    </w:p>
    <w:p w14:paraId="29F319A6">
      <w:r>
        <w:t>1、</w:t>
      </w:r>
      <w:r>
        <w:rPr>
          <w:rFonts w:hint="eastAsia"/>
        </w:rPr>
        <w:t>学习</w:t>
      </w:r>
      <w:r>
        <w:t>应急管理法律、法规和相关政策</w:t>
      </w:r>
      <w:r>
        <w:rPr>
          <w:rFonts w:hint="eastAsia"/>
        </w:rPr>
        <w:t>。</w:t>
      </w:r>
    </w:p>
    <w:p w14:paraId="13E41A07">
      <w:r>
        <w:t>2、</w:t>
      </w:r>
      <w:r>
        <w:rPr>
          <w:rFonts w:hint="eastAsia"/>
        </w:rPr>
        <w:t>学会</w:t>
      </w:r>
      <w:r>
        <w:t>突发事件的种类、特点和危害，预防、</w:t>
      </w:r>
      <w:r>
        <w:rPr>
          <w:rFonts w:hint="eastAsia"/>
        </w:rPr>
        <w:t>处置</w:t>
      </w:r>
      <w:r>
        <w:t>的基本</w:t>
      </w:r>
      <w:r>
        <w:rPr>
          <w:rFonts w:hint="eastAsia"/>
        </w:rPr>
        <w:t>方法方式。</w:t>
      </w:r>
    </w:p>
    <w:p w14:paraId="61B9A163">
      <w:r>
        <w:t>3、</w:t>
      </w:r>
      <w:r>
        <w:rPr>
          <w:rFonts w:hint="eastAsia"/>
        </w:rPr>
        <w:t>掌握</w:t>
      </w:r>
      <w:r>
        <w:t>应急预案的重要内容和处置规程</w:t>
      </w:r>
      <w:r>
        <w:rPr>
          <w:rFonts w:hint="eastAsia"/>
        </w:rPr>
        <w:t>。</w:t>
      </w:r>
    </w:p>
    <w:p w14:paraId="6766D608">
      <w:pPr>
        <w:keepNext/>
        <w:keepLines/>
        <w:widowControl w:val="0"/>
        <w:spacing w:line="377" w:lineRule="auto"/>
        <w:ind w:firstLine="0" w:firstLineChars="0"/>
        <w:jc w:val="both"/>
        <w:outlineLvl w:val="3"/>
        <w:rPr>
          <w:rFonts w:ascii="Cambria" w:hAnsi="Cambria" w:eastAsia="宋体" w:cs="Times New Roman"/>
          <w:b/>
          <w:bCs/>
          <w:kern w:val="2"/>
          <w:sz w:val="28"/>
          <w:szCs w:val="28"/>
          <w:lang w:val="en-US" w:eastAsia="zh-CN" w:bidi="ar-SA"/>
        </w:rPr>
      </w:pPr>
      <w:r>
        <w:rPr>
          <w:rFonts w:hint="eastAsia" w:ascii="Cambria" w:hAnsi="Cambria" w:eastAsia="宋体" w:cs="Times New Roman"/>
          <w:b/>
          <w:bCs/>
          <w:kern w:val="2"/>
          <w:sz w:val="28"/>
          <w:szCs w:val="28"/>
          <w:lang w:val="en-US" w:eastAsia="zh-CN" w:bidi="ar-SA"/>
        </w:rPr>
        <w:t>6.1.2</w:t>
      </w:r>
      <w:r>
        <w:rPr>
          <w:rFonts w:ascii="Cambria" w:hAnsi="Cambria" w:eastAsia="宋体" w:cs="Times New Roman"/>
          <w:b/>
          <w:bCs/>
          <w:kern w:val="2"/>
          <w:sz w:val="28"/>
          <w:szCs w:val="28"/>
          <w:lang w:val="en-US" w:eastAsia="zh-CN" w:bidi="ar-SA"/>
        </w:rPr>
        <w:t>实践训练和安全宣传</w:t>
      </w:r>
    </w:p>
    <w:p w14:paraId="6A72D9D0">
      <w:r>
        <w:t>1、组织进行一次应急演练，通过设置紧急</w:t>
      </w:r>
      <w:r>
        <w:rPr>
          <w:rFonts w:hint="eastAsia"/>
        </w:rPr>
        <w:t>救援</w:t>
      </w:r>
      <w:r>
        <w:t>、应急</w:t>
      </w:r>
      <w:r>
        <w:rPr>
          <w:rFonts w:hint="eastAsia"/>
        </w:rPr>
        <w:t>处置</w:t>
      </w:r>
      <w:r>
        <w:t>和</w:t>
      </w:r>
      <w:r>
        <w:rPr>
          <w:rFonts w:hint="eastAsia"/>
        </w:rPr>
        <w:t>应急物资保障等环节</w:t>
      </w:r>
      <w:r>
        <w:t>，提高应对和处置突发事件的能力</w:t>
      </w:r>
      <w:r>
        <w:rPr>
          <w:rFonts w:hint="eastAsia"/>
        </w:rPr>
        <w:t>。</w:t>
      </w:r>
    </w:p>
    <w:p w14:paraId="69472E26">
      <w:r>
        <w:t>2、宣传期间，组织</w:t>
      </w:r>
      <w:r>
        <w:rPr>
          <w:rFonts w:hint="eastAsia"/>
        </w:rPr>
        <w:t>单位</w:t>
      </w:r>
      <w:r>
        <w:t>观看</w:t>
      </w:r>
      <w:r>
        <w:rPr>
          <w:rFonts w:hint="eastAsia"/>
        </w:rPr>
        <w:t>相关处理水源地突发应急处置</w:t>
      </w:r>
      <w:r>
        <w:t>的影片</w:t>
      </w:r>
      <w:r>
        <w:rPr>
          <w:rFonts w:hint="eastAsia"/>
        </w:rPr>
        <w:t>。</w:t>
      </w:r>
    </w:p>
    <w:p w14:paraId="32E4719E">
      <w:r>
        <w:t>3、各</w:t>
      </w:r>
      <w:r>
        <w:rPr>
          <w:rFonts w:hint="eastAsia"/>
        </w:rPr>
        <w:t>单位</w:t>
      </w:r>
      <w:r>
        <w:t>召开一次应急</w:t>
      </w:r>
      <w:r>
        <w:rPr>
          <w:rFonts w:hint="eastAsia"/>
        </w:rPr>
        <w:t>预案</w:t>
      </w:r>
      <w:r>
        <w:t>主题会。</w:t>
      </w:r>
    </w:p>
    <w:p w14:paraId="71D5944D">
      <w:r>
        <w:t>4、风险排查。开展一次安全隐患排查。在排查过程中进一步宣传贯彻</w:t>
      </w:r>
      <w:r>
        <w:rPr>
          <w:rFonts w:hint="eastAsia"/>
        </w:rPr>
        <w:t>应急预案中的应急对策。</w:t>
      </w:r>
    </w:p>
    <w:p w14:paraId="55A96E0F">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65" w:name="_Toc5527"/>
      <w:bookmarkStart w:id="266" w:name="_Toc7953"/>
      <w:bookmarkStart w:id="267" w:name="_Toc24127"/>
      <w:bookmarkStart w:id="268" w:name="_Toc23700"/>
      <w:bookmarkStart w:id="269" w:name="_Toc30055"/>
      <w:r>
        <w:rPr>
          <w:rFonts w:ascii="Times New Roman" w:hAnsi="Times New Roman" w:eastAsia="宋体" w:cs="Times New Roman"/>
          <w:b/>
          <w:bCs/>
          <w:kern w:val="2"/>
          <w:sz w:val="30"/>
          <w:szCs w:val="32"/>
          <w:lang w:val="en-US" w:eastAsia="zh-CN" w:bidi="ar-SA"/>
        </w:rPr>
        <w:t>6.</w:t>
      </w:r>
      <w:r>
        <w:rPr>
          <w:rFonts w:hint="eastAsia" w:ascii="Times New Roman" w:hAnsi="Times New Roman" w:eastAsia="宋体" w:cs="Times New Roman"/>
          <w:b/>
          <w:bCs/>
          <w:kern w:val="2"/>
          <w:sz w:val="30"/>
          <w:szCs w:val="32"/>
          <w:lang w:val="en-US" w:eastAsia="zh-CN" w:bidi="ar-SA"/>
        </w:rPr>
        <w:t>2</w:t>
      </w:r>
      <w:r>
        <w:rPr>
          <w:rFonts w:ascii="Times New Roman" w:hAnsi="Times New Roman" w:eastAsia="宋体" w:cs="Times New Roman"/>
          <w:b/>
          <w:bCs/>
          <w:kern w:val="2"/>
          <w:sz w:val="30"/>
          <w:szCs w:val="32"/>
          <w:lang w:val="en-US" w:eastAsia="zh-CN" w:bidi="ar-SA"/>
        </w:rPr>
        <w:t>应急演练的组织</w:t>
      </w:r>
      <w:bookmarkEnd w:id="260"/>
      <w:bookmarkEnd w:id="261"/>
      <w:bookmarkEnd w:id="262"/>
      <w:bookmarkEnd w:id="263"/>
      <w:bookmarkEnd w:id="264"/>
      <w:bookmarkEnd w:id="265"/>
      <w:bookmarkEnd w:id="266"/>
      <w:bookmarkEnd w:id="267"/>
      <w:bookmarkEnd w:id="268"/>
      <w:bookmarkEnd w:id="269"/>
    </w:p>
    <w:p w14:paraId="2685C197">
      <w:r>
        <w:t>应急演练选择红色预警一级突发环境事件。</w:t>
      </w:r>
    </w:p>
    <w:p w14:paraId="39EC4C74">
      <w:r>
        <w:t>为提高各部门应急救援队伍的应急处置能力，同时加强各部门间应急联动、协作能力，</w:t>
      </w:r>
      <w:r>
        <w:rPr>
          <w:rFonts w:hint="eastAsia"/>
        </w:rPr>
        <w:t>区应急管理局</w:t>
      </w:r>
      <w:r>
        <w:t>定期组织（每年组织一次）武陵源区董家峪水库饮用水水源</w:t>
      </w:r>
      <w:r>
        <w:rPr>
          <w:rFonts w:hint="eastAsia"/>
        </w:rPr>
        <w:t>地</w:t>
      </w:r>
      <w:r>
        <w:t>突发环境事件实战演练，由区</w:t>
      </w:r>
      <w:r>
        <w:rPr>
          <w:rFonts w:hint="eastAsia"/>
        </w:rPr>
        <w:t>应急管理局</w:t>
      </w:r>
      <w:r>
        <w:t>、区纪委、</w:t>
      </w:r>
      <w:r>
        <w:rPr>
          <w:rFonts w:hint="eastAsia"/>
          <w:lang w:eastAsia="zh-CN"/>
        </w:rPr>
        <w:t>市公安局武陵源分局</w:t>
      </w:r>
      <w:r>
        <w:t>、区财政局、</w:t>
      </w:r>
      <w:r>
        <w:rPr>
          <w:rFonts w:hint="eastAsia"/>
          <w:lang w:eastAsia="zh-CN"/>
        </w:rPr>
        <w:t>区自然资源和林业局</w:t>
      </w:r>
      <w:r>
        <w:t>、</w:t>
      </w:r>
      <w:r>
        <w:rPr>
          <w:rFonts w:hint="eastAsia"/>
          <w:lang w:eastAsia="zh-CN"/>
        </w:rPr>
        <w:t>区城乡建设和交通运输局</w:t>
      </w:r>
      <w:r>
        <w:t>、</w:t>
      </w:r>
      <w:r>
        <w:rPr>
          <w:rFonts w:hint="eastAsia"/>
          <w:lang w:eastAsia="zh-CN"/>
        </w:rPr>
        <w:t>区农业农村水利局</w:t>
      </w:r>
      <w:r>
        <w:t>、</w:t>
      </w:r>
      <w:r>
        <w:rPr>
          <w:rFonts w:hint="eastAsia"/>
          <w:lang w:eastAsia="zh-CN"/>
        </w:rPr>
        <w:t>区卫生健康局</w:t>
      </w:r>
      <w:r>
        <w:t>、</w:t>
      </w:r>
      <w:r>
        <w:rPr>
          <w:rFonts w:hint="eastAsia"/>
          <w:lang w:eastAsia="zh-CN"/>
        </w:rPr>
        <w:t>区城市管理和综合执法局</w:t>
      </w:r>
      <w:r>
        <w:t>、</w:t>
      </w:r>
      <w:r>
        <w:rPr>
          <w:rFonts w:hint="eastAsia"/>
          <w:lang w:eastAsia="zh-CN"/>
        </w:rPr>
        <w:t>市生态环境局武陵源分局</w:t>
      </w:r>
      <w:bookmarkStart w:id="350" w:name="_GoBack"/>
      <w:bookmarkEnd w:id="350"/>
      <w:r>
        <w:t>、</w:t>
      </w:r>
      <w:r>
        <w:rPr>
          <w:rFonts w:hint="eastAsia"/>
        </w:rPr>
        <w:t>气象部门</w:t>
      </w:r>
      <w:r>
        <w:t>、</w:t>
      </w:r>
      <w:r>
        <w:rPr>
          <w:rFonts w:hint="eastAsia"/>
        </w:rPr>
        <w:t>区委宣传部</w:t>
      </w:r>
      <w:r>
        <w:t>、</w:t>
      </w:r>
      <w:r>
        <w:rPr>
          <w:rFonts w:hint="eastAsia"/>
          <w:lang w:eastAsia="zh-CN"/>
        </w:rPr>
        <w:t>区民政和人力资源社会保障局</w:t>
      </w:r>
      <w:r>
        <w:rPr>
          <w:rFonts w:hint="eastAsia"/>
        </w:rPr>
        <w:t>等</w:t>
      </w:r>
      <w:r>
        <w:t>部门共同参与应急演练，并由专人将应急演练过程以录像形式记录下来。演练组织流程见图6.1-1所示。</w:t>
      </w:r>
    </w:p>
    <w:p w14:paraId="339A5A50">
      <w:pPr>
        <w:ind w:firstLine="0" w:firstLineChars="0"/>
      </w:pPr>
      <w:r>
        <mc:AlternateContent>
          <mc:Choice Requires="wpg">
            <w:drawing>
              <wp:inline distT="0" distB="0" distL="114300" distR="114300">
                <wp:extent cx="5640070" cy="1433830"/>
                <wp:effectExtent l="4445" t="4445" r="13335" b="9525"/>
                <wp:docPr id="3" name="组合 1"/>
                <wp:cNvGraphicFramePr/>
                <a:graphic xmlns:a="http://schemas.openxmlformats.org/drawingml/2006/main">
                  <a:graphicData uri="http://schemas.microsoft.com/office/word/2010/wordprocessingGroup">
                    <wpg:wgp>
                      <wpg:cNvGrpSpPr/>
                      <wpg:grpSpPr>
                        <a:xfrm>
                          <a:off x="0" y="0"/>
                          <a:ext cx="5640070" cy="1433982"/>
                          <a:chOff x="5576" y="436901"/>
                          <a:chExt cx="9035" cy="2306"/>
                        </a:xfrm>
                      </wpg:grpSpPr>
                      <wps:wsp>
                        <wps:cNvPr id="1" name="AutoShape 1450"/>
                        <wps:cNvSpPr/>
                        <wps:spPr>
                          <a:xfrm>
                            <a:off x="12899" y="436901"/>
                            <a:ext cx="1712" cy="223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B9A0361">
                              <w:pPr>
                                <w:spacing w:line="240" w:lineRule="auto"/>
                                <w:ind w:firstLine="0" w:firstLineChars="0"/>
                                <w:rPr>
                                  <w:sz w:val="21"/>
                                  <w:szCs w:val="21"/>
                                </w:rPr>
                              </w:pPr>
                              <w:r>
                                <w:rPr>
                                  <w:rFonts w:hint="eastAsia"/>
                                  <w:sz w:val="21"/>
                                  <w:szCs w:val="21"/>
                                </w:rPr>
                                <w:t>举行现场演练，全程摄像、拍照和记录整个演习过程，总结演练</w:t>
                              </w:r>
                            </w:p>
                          </w:txbxContent>
                        </wps:txbx>
                        <wps:bodyPr upright="1"/>
                      </wps:wsp>
                      <wps:wsp>
                        <wps:cNvPr id="2" name="AutoShape 1449"/>
                        <wps:cNvSpPr/>
                        <wps:spPr>
                          <a:xfrm>
                            <a:off x="10376" y="436931"/>
                            <a:ext cx="1803" cy="219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0E144EC">
                              <w:pPr>
                                <w:spacing w:line="240" w:lineRule="auto"/>
                                <w:ind w:firstLine="0" w:firstLineChars="0"/>
                                <w:rPr>
                                  <w:sz w:val="21"/>
                                  <w:szCs w:val="21"/>
                                </w:rPr>
                              </w:pPr>
                              <w:r>
                                <w:rPr>
                                  <w:rFonts w:hint="eastAsia"/>
                                  <w:sz w:val="21"/>
                                  <w:szCs w:val="21"/>
                                </w:rPr>
                                <w:t>进行桌面演练，区应急管理局点评桌面演练效果，提出重点注意的问题</w:t>
                              </w:r>
                            </w:p>
                          </w:txbxContent>
                        </wps:txbx>
                        <wps:bodyPr upright="1"/>
                      </wps:wsp>
                      <wps:wsp>
                        <wps:cNvPr id="4" name="AutoShape 1448"/>
                        <wps:cNvSpPr/>
                        <wps:spPr>
                          <a:xfrm>
                            <a:off x="7889" y="436901"/>
                            <a:ext cx="1773" cy="225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C8E98E5">
                              <w:pPr>
                                <w:spacing w:line="240" w:lineRule="auto"/>
                                <w:ind w:firstLine="0" w:firstLineChars="0"/>
                                <w:rPr>
                                  <w:sz w:val="21"/>
                                  <w:szCs w:val="21"/>
                                </w:rPr>
                              </w:pPr>
                              <w:r>
                                <w:rPr>
                                  <w:rFonts w:hint="eastAsia"/>
                                  <w:sz w:val="21"/>
                                  <w:szCs w:val="21"/>
                                </w:rPr>
                                <w:t>区应急管理局组织二次演练协调会，核对准备进度，反馈问题，筹备桌面演练</w:t>
                              </w:r>
                            </w:p>
                          </w:txbxContent>
                        </wps:txbx>
                        <wps:bodyPr upright="1"/>
                      </wps:wsp>
                      <wps:wsp>
                        <wps:cNvPr id="6" name="AutoShape 1447"/>
                        <wps:cNvSpPr/>
                        <wps:spPr>
                          <a:xfrm>
                            <a:off x="5576" y="436931"/>
                            <a:ext cx="1895" cy="227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7B7A50">
                              <w:pPr>
                                <w:spacing w:line="240" w:lineRule="auto"/>
                                <w:ind w:firstLine="0" w:firstLineChars="0"/>
                                <w:rPr>
                                  <w:sz w:val="21"/>
                                  <w:szCs w:val="21"/>
                                </w:rPr>
                              </w:pPr>
                              <w:r>
                                <w:rPr>
                                  <w:rFonts w:hint="eastAsia"/>
                                  <w:sz w:val="21"/>
                                  <w:szCs w:val="21"/>
                                </w:rPr>
                                <w:t>区应急管理局组织一次演练协调会，讨论演练方案，明确演练分工</w:t>
                              </w:r>
                            </w:p>
                          </w:txbxContent>
                        </wps:txbx>
                        <wps:bodyPr upright="1"/>
                      </wps:wsp>
                      <wps:wsp>
                        <wps:cNvPr id="8" name="AutoShape 1455"/>
                        <wps:cNvSpPr/>
                        <wps:spPr>
                          <a:xfrm>
                            <a:off x="12179" y="437864"/>
                            <a:ext cx="720" cy="156"/>
                          </a:xfrm>
                          <a:prstGeom prst="rightArrow">
                            <a:avLst>
                              <a:gd name="adj1" fmla="val 50000"/>
                              <a:gd name="adj2" fmla="val 115384"/>
                            </a:avLst>
                          </a:prstGeom>
                          <a:solidFill>
                            <a:srgbClr val="000000"/>
                          </a:solidFill>
                          <a:ln w="9525" cap="flat" cmpd="sng">
                            <a:solidFill>
                              <a:srgbClr val="000000"/>
                            </a:solidFill>
                            <a:prstDash val="solid"/>
                            <a:miter/>
                            <a:headEnd type="none" w="med" len="med"/>
                            <a:tailEnd type="none" w="med" len="med"/>
                          </a:ln>
                        </wps:spPr>
                        <wps:bodyPr upright="1"/>
                      </wps:wsp>
                      <wps:wsp>
                        <wps:cNvPr id="9" name="AutoShape 1454"/>
                        <wps:cNvSpPr/>
                        <wps:spPr>
                          <a:xfrm>
                            <a:off x="9659" y="437864"/>
                            <a:ext cx="720" cy="156"/>
                          </a:xfrm>
                          <a:prstGeom prst="rightArrow">
                            <a:avLst>
                              <a:gd name="adj1" fmla="val 50000"/>
                              <a:gd name="adj2" fmla="val 115384"/>
                            </a:avLst>
                          </a:prstGeom>
                          <a:solidFill>
                            <a:srgbClr val="000000"/>
                          </a:solidFill>
                          <a:ln w="9525" cap="flat" cmpd="sng">
                            <a:solidFill>
                              <a:srgbClr val="000000"/>
                            </a:solidFill>
                            <a:prstDash val="solid"/>
                            <a:miter/>
                            <a:headEnd type="none" w="med" len="med"/>
                            <a:tailEnd type="none" w="med" len="med"/>
                          </a:ln>
                        </wps:spPr>
                        <wps:bodyPr upright="1"/>
                      </wps:wsp>
                      <wps:wsp>
                        <wps:cNvPr id="10" name="AutoShape 1453"/>
                        <wps:cNvSpPr/>
                        <wps:spPr>
                          <a:xfrm>
                            <a:off x="7319" y="437864"/>
                            <a:ext cx="567" cy="156"/>
                          </a:xfrm>
                          <a:prstGeom prst="rightArrow">
                            <a:avLst>
                              <a:gd name="adj1" fmla="val 50000"/>
                              <a:gd name="adj2" fmla="val 90865"/>
                            </a:avLst>
                          </a:prstGeom>
                          <a:solidFill>
                            <a:srgbClr val="000000"/>
                          </a:solidFill>
                          <a:ln w="9525" cap="flat" cmpd="sng">
                            <a:solidFill>
                              <a:srgbClr val="000000"/>
                            </a:solidFill>
                            <a:prstDash val="solid"/>
                            <a:miter/>
                            <a:headEnd type="none" w="med" len="med"/>
                            <a:tailEnd type="none" w="med" len="med"/>
                          </a:ln>
                        </wps:spPr>
                        <wps:bodyPr upright="1"/>
                      </wps:wsp>
                    </wpg:wgp>
                  </a:graphicData>
                </a:graphic>
              </wp:inline>
            </w:drawing>
          </mc:Choice>
          <mc:Fallback>
            <w:pict>
              <v:group id="组合 1" o:spid="_x0000_s1026" o:spt="203" style="height:112.9pt;width:444.1pt;" coordorigin="5576,436901" coordsize="9035,2306" o:gfxdata="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B8o9No1gAAAAUB&#10;AAAPAAAAAAAAAAEAIAAAACIAAABkcnMvZG93bnJldi54bWxQSwECFAAUAAAACACHTuJA/c+mTawD&#10;AADdFAAADgAAAAAAAAABACAAAAAlAQAAZHJzL2Uyb0RvYy54bWxQSwUGAAAAAAYABgBZAQAAQwcA&#10;AAAA&#10;">
                <o:lock v:ext="edit" aspectratio="f"/>
                <v:roundrect id="AutoShape 1450" o:spid="_x0000_s1026" o:spt="2" style="position:absolute;left:12899;top:436901;height:2239;width:1712;" fillcolor="#FFFFFF" filled="t" stroked="t" coordsize="21600,21600" arcsize="0.166666666666667" o:gfxdata="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31qa5AAAA2g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5B9A0361">
                        <w:pPr>
                          <w:spacing w:line="240" w:lineRule="auto"/>
                          <w:ind w:firstLine="0" w:firstLineChars="0"/>
                          <w:rPr>
                            <w:sz w:val="21"/>
                            <w:szCs w:val="21"/>
                          </w:rPr>
                        </w:pPr>
                        <w:r>
                          <w:rPr>
                            <w:rFonts w:hint="eastAsia"/>
                            <w:sz w:val="21"/>
                            <w:szCs w:val="21"/>
                          </w:rPr>
                          <w:t>举行现场演练，全程摄像、拍照和记录整个演习过程，总结演练</w:t>
                        </w:r>
                      </w:p>
                    </w:txbxContent>
                  </v:textbox>
                </v:roundrect>
                <v:roundrect id="AutoShape 1449" o:spid="_x0000_s1026" o:spt="2" style="position:absolute;left:10376;top:436931;height:2191;width:1803;" fillcolor="#FFFFFF" filled="t" stroked="t" coordsize="21600,21600" arcsize="0.166666666666667" o:gfxdata="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SNG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0E144EC">
                        <w:pPr>
                          <w:spacing w:line="240" w:lineRule="auto"/>
                          <w:ind w:firstLine="0" w:firstLineChars="0"/>
                          <w:rPr>
                            <w:sz w:val="21"/>
                            <w:szCs w:val="21"/>
                          </w:rPr>
                        </w:pPr>
                        <w:r>
                          <w:rPr>
                            <w:rFonts w:hint="eastAsia"/>
                            <w:sz w:val="21"/>
                            <w:szCs w:val="21"/>
                          </w:rPr>
                          <w:t>进行桌面演练，区应急管理局点评桌面演练效果，提出重点注意的问题</w:t>
                        </w:r>
                      </w:p>
                    </w:txbxContent>
                  </v:textbox>
                </v:roundrect>
                <v:roundrect id="AutoShape 1448" o:spid="_x0000_s1026" o:spt="2" style="position:absolute;left:7889;top:436901;height:2254;width:1773;" fillcolor="#FFFFFF" filled="t" stroked="t" coordsize="21600,21600" arcsize="0.166666666666667" o:gfxdata="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AdT6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C8E98E5">
                        <w:pPr>
                          <w:spacing w:line="240" w:lineRule="auto"/>
                          <w:ind w:firstLine="0" w:firstLineChars="0"/>
                          <w:rPr>
                            <w:sz w:val="21"/>
                            <w:szCs w:val="21"/>
                          </w:rPr>
                        </w:pPr>
                        <w:r>
                          <w:rPr>
                            <w:rFonts w:hint="eastAsia"/>
                            <w:sz w:val="21"/>
                            <w:szCs w:val="21"/>
                          </w:rPr>
                          <w:t>区应急管理局组织二次演练协调会，核对准备进度，反馈问题，筹备桌面演练</w:t>
                        </w:r>
                      </w:p>
                    </w:txbxContent>
                  </v:textbox>
                </v:roundrect>
                <v:roundrect id="AutoShape 1447" o:spid="_x0000_s1026" o:spt="2" style="position:absolute;left:5576;top:436931;height:2276;width:1895;" fillcolor="#FFFFFF" filled="t" stroked="t" coordsize="21600,21600" arcsize="0.166666666666667" o:gfxdata="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eTtK8AAAA&#10;2g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1B7B7A50">
                        <w:pPr>
                          <w:spacing w:line="240" w:lineRule="auto"/>
                          <w:ind w:firstLine="0" w:firstLineChars="0"/>
                          <w:rPr>
                            <w:sz w:val="21"/>
                            <w:szCs w:val="21"/>
                          </w:rPr>
                        </w:pPr>
                        <w:r>
                          <w:rPr>
                            <w:rFonts w:hint="eastAsia"/>
                            <w:sz w:val="21"/>
                            <w:szCs w:val="21"/>
                          </w:rPr>
                          <w:t>区应急管理局组织一次演练协调会，讨论演练方案，明确演练分工</w:t>
                        </w:r>
                      </w:p>
                    </w:txbxContent>
                  </v:textbox>
                </v:roundrect>
                <v:shape id="AutoShape 1455" o:spid="_x0000_s1026" o:spt="13" type="#_x0000_t13" style="position:absolute;left:12179;top:437864;height:156;width:720;" fillcolor="#000000" filled="t" stroked="t" coordsize="21600,21600" o:gfxdata="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5eZG5AAAA2gAA&#10;AA8AAAAAAAAAAQAgAAAAIgAAAGRycy9kb3ducmV2LnhtbFBLAQIUABQAAAAIAIdO4kAzLwWeOwAA&#10;ADkAAAAQAAAAAAAAAAEAIAAAAAgBAABkcnMvc2hhcGV4bWwueG1sUEsFBgAAAAAGAAYAWwEAALID&#10;AAAAAA==&#10;" adj="16201,5400">
                  <v:fill on="t" focussize="0,0"/>
                  <v:stroke color="#000000" joinstyle="miter"/>
                  <v:imagedata o:title=""/>
                  <o:lock v:ext="edit" aspectratio="f"/>
                </v:shape>
                <v:shape id="AutoShape 1454" o:spid="_x0000_s1026" o:spt="13" type="#_x0000_t13" style="position:absolute;left:9659;top:437864;height:156;width:720;" fillcolor="#000000" filled="t" stroked="t" coordsize="21600,21600" o:gfxdata="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XcCr4A&#10;AADa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AutoShape 1453" o:spid="_x0000_s1026" o:spt="13" type="#_x0000_t13" style="position:absolute;left:7319;top:437864;height:156;width:567;" fillcolor="#000000" filled="t" stroked="t" coordsize="21600,21600" o:gfxdata="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w/AL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w10:wrap type="none"/>
                <w10:anchorlock/>
              </v:group>
            </w:pict>
          </mc:Fallback>
        </mc:AlternateContent>
      </w:r>
    </w:p>
    <w:p w14:paraId="474F8E9C">
      <w:pPr>
        <w:ind w:firstLine="0" w:firstLineChars="0"/>
        <w:jc w:val="center"/>
        <w:rPr>
          <w:sz w:val="24"/>
          <w:szCs w:val="24"/>
        </w:rPr>
      </w:pPr>
      <w:bookmarkStart w:id="270" w:name="_Toc522803236"/>
      <w:bookmarkStart w:id="271" w:name="_Toc519176898"/>
      <w:bookmarkStart w:id="272" w:name="_Toc514144441"/>
      <w:bookmarkStart w:id="273" w:name="_Toc514158776"/>
      <w:r>
        <w:rPr>
          <w:sz w:val="24"/>
          <w:szCs w:val="24"/>
        </w:rPr>
        <w:t>图6.1-1演练组织流程</w:t>
      </w:r>
      <w:bookmarkEnd w:id="270"/>
      <w:bookmarkEnd w:id="271"/>
      <w:bookmarkEnd w:id="272"/>
      <w:bookmarkEnd w:id="273"/>
    </w:p>
    <w:p w14:paraId="10C35E17">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74" w:name="_Toc2768"/>
      <w:bookmarkStart w:id="275" w:name="_Toc13430"/>
      <w:bookmarkStart w:id="276" w:name="_Toc24293"/>
      <w:bookmarkStart w:id="277" w:name="_Toc522607546"/>
      <w:bookmarkStart w:id="278" w:name="_Toc6636"/>
      <w:bookmarkStart w:id="279" w:name="_Toc13606"/>
      <w:bookmarkStart w:id="280" w:name="_Toc5114_WPSOffice_Level2"/>
      <w:bookmarkStart w:id="281" w:name="_Toc17118"/>
      <w:bookmarkStart w:id="282" w:name="_Toc519688382"/>
      <w:bookmarkStart w:id="283" w:name="_Toc12506"/>
      <w:r>
        <w:rPr>
          <w:rFonts w:ascii="Times New Roman" w:hAnsi="Times New Roman" w:eastAsia="宋体" w:cs="Times New Roman"/>
          <w:b/>
          <w:bCs/>
          <w:kern w:val="2"/>
          <w:sz w:val="30"/>
          <w:szCs w:val="32"/>
          <w:lang w:val="en-US" w:eastAsia="zh-CN" w:bidi="ar-SA"/>
        </w:rPr>
        <w:t>6.</w:t>
      </w:r>
      <w:r>
        <w:rPr>
          <w:rFonts w:hint="eastAsia" w:ascii="Times New Roman" w:hAnsi="Times New Roman" w:eastAsia="宋体" w:cs="Times New Roman"/>
          <w:b/>
          <w:bCs/>
          <w:kern w:val="2"/>
          <w:sz w:val="30"/>
          <w:szCs w:val="32"/>
          <w:lang w:val="en-US" w:eastAsia="zh-CN" w:bidi="ar-SA"/>
        </w:rPr>
        <w:t>3</w:t>
      </w:r>
      <w:r>
        <w:rPr>
          <w:rFonts w:ascii="Times New Roman" w:hAnsi="Times New Roman" w:eastAsia="宋体" w:cs="Times New Roman"/>
          <w:b/>
          <w:bCs/>
          <w:kern w:val="2"/>
          <w:sz w:val="30"/>
          <w:szCs w:val="32"/>
          <w:lang w:val="en-US" w:eastAsia="zh-CN" w:bidi="ar-SA"/>
        </w:rPr>
        <w:t>应急演练内容</w:t>
      </w:r>
      <w:bookmarkEnd w:id="274"/>
      <w:bookmarkEnd w:id="275"/>
      <w:bookmarkEnd w:id="276"/>
      <w:bookmarkEnd w:id="277"/>
      <w:bookmarkEnd w:id="278"/>
      <w:bookmarkEnd w:id="279"/>
      <w:bookmarkEnd w:id="280"/>
      <w:bookmarkEnd w:id="281"/>
      <w:bookmarkEnd w:id="282"/>
      <w:bookmarkEnd w:id="283"/>
    </w:p>
    <w:p w14:paraId="20D56E9E">
      <w:r>
        <w:t>根据武陵源区董家峪水库饮用水水源保护区潜在的事故风险，演练的内容可包括：</w:t>
      </w:r>
    </w:p>
    <w:p w14:paraId="19776D01">
      <w:r>
        <w:t>（1）董家峪水库库区水面由于富营养化，造成藻类大面积快速繁殖引发水华灾害事故的应急演练；</w:t>
      </w:r>
    </w:p>
    <w:p w14:paraId="174A5970">
      <w:r>
        <w:t>（2）由于暴雨冲刷引发山体泥石流、滑坡、崩塌等地质灾害</w:t>
      </w:r>
      <w:r>
        <w:rPr>
          <w:rFonts w:hint="eastAsia"/>
        </w:rPr>
        <w:t>或</w:t>
      </w:r>
      <w:r>
        <w:t>山体突发火灾，消防救援导致董家峪水库中悬浮物大量超标的事故。</w:t>
      </w:r>
    </w:p>
    <w:p w14:paraId="7575383F">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84" w:name="_Toc14891"/>
      <w:bookmarkStart w:id="285" w:name="_Toc26864"/>
      <w:bookmarkStart w:id="286" w:name="_Toc522607547"/>
      <w:bookmarkStart w:id="287" w:name="_Toc25178_WPSOffice_Level2"/>
      <w:bookmarkStart w:id="288" w:name="_Toc30311"/>
      <w:bookmarkStart w:id="289" w:name="_Toc29172"/>
      <w:bookmarkStart w:id="290" w:name="_Toc4419"/>
      <w:bookmarkStart w:id="291" w:name="_Toc15215"/>
      <w:bookmarkStart w:id="292" w:name="_Toc9148"/>
      <w:bookmarkStart w:id="293" w:name="_Toc519688383"/>
      <w:r>
        <w:rPr>
          <w:rFonts w:ascii="Times New Roman" w:hAnsi="Times New Roman" w:eastAsia="宋体" w:cs="Times New Roman"/>
          <w:b/>
          <w:bCs/>
          <w:kern w:val="2"/>
          <w:sz w:val="30"/>
          <w:szCs w:val="32"/>
          <w:lang w:val="en-US" w:eastAsia="zh-CN" w:bidi="ar-SA"/>
        </w:rPr>
        <w:t>6.</w:t>
      </w:r>
      <w:r>
        <w:rPr>
          <w:rFonts w:hint="eastAsia" w:ascii="Times New Roman" w:hAnsi="Times New Roman" w:eastAsia="宋体" w:cs="Times New Roman"/>
          <w:b/>
          <w:bCs/>
          <w:kern w:val="2"/>
          <w:sz w:val="30"/>
          <w:szCs w:val="32"/>
          <w:lang w:val="en-US" w:eastAsia="zh-CN" w:bidi="ar-SA"/>
        </w:rPr>
        <w:t>4</w:t>
      </w:r>
      <w:r>
        <w:rPr>
          <w:rFonts w:ascii="Times New Roman" w:hAnsi="Times New Roman" w:eastAsia="宋体" w:cs="Times New Roman"/>
          <w:b/>
          <w:bCs/>
          <w:kern w:val="2"/>
          <w:sz w:val="30"/>
          <w:szCs w:val="32"/>
          <w:lang w:val="en-US" w:eastAsia="zh-CN" w:bidi="ar-SA"/>
        </w:rPr>
        <w:t>应急演练参加人员</w:t>
      </w:r>
      <w:bookmarkEnd w:id="284"/>
      <w:bookmarkEnd w:id="285"/>
      <w:bookmarkEnd w:id="286"/>
      <w:bookmarkEnd w:id="287"/>
      <w:bookmarkEnd w:id="288"/>
      <w:bookmarkEnd w:id="289"/>
      <w:bookmarkEnd w:id="290"/>
      <w:bookmarkEnd w:id="291"/>
      <w:bookmarkEnd w:id="292"/>
      <w:bookmarkEnd w:id="293"/>
    </w:p>
    <w:p w14:paraId="6F0AB219">
      <w:r>
        <w:t>（1）参演人员：在应急组织中承担具体任务的人员。</w:t>
      </w:r>
    </w:p>
    <w:p w14:paraId="2C4ED197">
      <w:r>
        <w:t>（2）控制人员：控制时间进度的人员。</w:t>
      </w:r>
    </w:p>
    <w:p w14:paraId="33CA5B61">
      <w:r>
        <w:t>（3）模拟人员：演练过程中扮演或代替应急组织和部门的人员。</w:t>
      </w:r>
    </w:p>
    <w:p w14:paraId="2BC11F6A">
      <w:r>
        <w:t>（4）评价人员：对演练进展情况予以记录的人员。</w:t>
      </w:r>
    </w:p>
    <w:p w14:paraId="40254C08">
      <w:r>
        <w:t>（5）观摩人员：来自有关部门、外部机构及观众。</w:t>
      </w:r>
    </w:p>
    <w:p w14:paraId="5CE30F92">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294" w:name="_Toc29463"/>
      <w:bookmarkStart w:id="295" w:name="_Toc29924"/>
      <w:bookmarkStart w:id="296" w:name="_Toc23457"/>
      <w:bookmarkStart w:id="297" w:name="_Toc32398"/>
      <w:bookmarkStart w:id="298" w:name="_Toc28868"/>
      <w:bookmarkStart w:id="299" w:name="_Toc522607548"/>
      <w:bookmarkStart w:id="300" w:name="_Toc13553_WPSOffice_Level2"/>
      <w:bookmarkStart w:id="301" w:name="_Toc519688384"/>
      <w:bookmarkStart w:id="302" w:name="_Toc17684"/>
      <w:bookmarkStart w:id="303" w:name="_Toc18603"/>
      <w:r>
        <w:rPr>
          <w:rFonts w:ascii="Times New Roman" w:hAnsi="Times New Roman" w:eastAsia="宋体" w:cs="Times New Roman"/>
          <w:b/>
          <w:bCs/>
          <w:kern w:val="2"/>
          <w:sz w:val="30"/>
          <w:szCs w:val="32"/>
          <w:lang w:val="en-US" w:eastAsia="zh-CN" w:bidi="ar-SA"/>
        </w:rPr>
        <w:t>6.</w:t>
      </w:r>
      <w:r>
        <w:rPr>
          <w:rFonts w:hint="eastAsia" w:ascii="Times New Roman" w:hAnsi="Times New Roman" w:eastAsia="宋体" w:cs="Times New Roman"/>
          <w:b/>
          <w:bCs/>
          <w:kern w:val="2"/>
          <w:sz w:val="30"/>
          <w:szCs w:val="32"/>
          <w:lang w:val="en-US" w:eastAsia="zh-CN" w:bidi="ar-SA"/>
        </w:rPr>
        <w:t>5</w:t>
      </w:r>
      <w:r>
        <w:rPr>
          <w:rFonts w:ascii="Times New Roman" w:hAnsi="Times New Roman" w:eastAsia="宋体" w:cs="Times New Roman"/>
          <w:b/>
          <w:bCs/>
          <w:kern w:val="2"/>
          <w:sz w:val="30"/>
          <w:szCs w:val="32"/>
          <w:lang w:val="en-US" w:eastAsia="zh-CN" w:bidi="ar-SA"/>
        </w:rPr>
        <w:t>演练实施的基本过程</w:t>
      </w:r>
      <w:bookmarkEnd w:id="294"/>
      <w:bookmarkEnd w:id="295"/>
      <w:bookmarkEnd w:id="296"/>
      <w:bookmarkEnd w:id="297"/>
      <w:bookmarkEnd w:id="298"/>
      <w:bookmarkEnd w:id="299"/>
      <w:bookmarkEnd w:id="300"/>
      <w:bookmarkEnd w:id="301"/>
      <w:bookmarkEnd w:id="302"/>
      <w:bookmarkEnd w:id="303"/>
    </w:p>
    <w:p w14:paraId="50793647">
      <w:pPr>
        <w:outlineLvl w:val="3"/>
      </w:pPr>
      <w:r>
        <w:t>（1）准备阶段</w:t>
      </w:r>
    </w:p>
    <w:p w14:paraId="54DC2443">
      <w:r>
        <w:rPr>
          <w:rFonts w:hint="eastAsia"/>
        </w:rPr>
        <w:t>区应急管理局</w:t>
      </w:r>
      <w:r>
        <w:t>确定演练日期，成立一个临时演练策划组。编制演练方案，开展第一次演练协调会，讨论演练方案，确定演练的目标、原则、范围、参演部门，确定演练的性质和方法，选定演练</w:t>
      </w:r>
      <w:r>
        <w:rPr>
          <w:rFonts w:hint="eastAsia"/>
        </w:rPr>
        <w:t>时间</w:t>
      </w:r>
      <w:r>
        <w:t>与地点，规定演练的时间尺度和公众参与程度；确定实施计划、设计事故情景与处置方案。其中特别要注意的是，演练情景尽可能真实，并考虑应急设备故障问题，以检测备用系统，同时应确定评价人员数量。</w:t>
      </w:r>
    </w:p>
    <w:p w14:paraId="24D1C6F7">
      <w:r>
        <w:rPr>
          <w:rFonts w:hint="eastAsia"/>
        </w:rPr>
        <w:t>区应急管理局</w:t>
      </w:r>
      <w:r>
        <w:t>开展第二次演练协调会，核对准备进度，反馈问题，筹备桌面演练进行桌面演练，应急总指挥和副总指挥点评桌面演练效果，提出重点注意的问题举行现场演练，全程摄像、拍照和记录整个演习过程。总结演练应具备的专业技能，指定评价人员，分配各自所负责评价的应急组织和演练目标。</w:t>
      </w:r>
    </w:p>
    <w:p w14:paraId="71EC59B0">
      <w:pPr>
        <w:outlineLvl w:val="3"/>
      </w:pPr>
      <w:r>
        <w:t>（2）实施阶段</w:t>
      </w:r>
    </w:p>
    <w:p w14:paraId="6466ED6A">
      <w:r>
        <w:t>演练实施阶段是指宣布初始时间到演练结束的整个阶段。演练过程中参演应急人员应尽可能按照实际紧急事件发生时响应要求进行演示，由参演人员根据自己对最佳解决方法的理解，对事故做出响应行动。策划者的作用是宣布演练开始和结束，以及解决演练过程中的矛盾。</w:t>
      </w:r>
    </w:p>
    <w:p w14:paraId="769BDCF3">
      <w:pPr>
        <w:outlineLvl w:val="3"/>
      </w:pPr>
      <w:r>
        <w:t>（3）总结阶段</w:t>
      </w:r>
    </w:p>
    <w:p w14:paraId="061B5331">
      <w:r>
        <w:rPr>
          <w:rFonts w:hint="eastAsia"/>
        </w:rPr>
        <w:t>区应急管理局应对应急演习</w:t>
      </w:r>
      <w:r>
        <w:t>情况予以记录，并妥善保存备查。演练结束后应对演练的效果</w:t>
      </w:r>
      <w:r>
        <w:rPr>
          <w:rFonts w:hint="eastAsia"/>
        </w:rPr>
        <w:t>作出评价</w:t>
      </w:r>
      <w:r>
        <w:t>，提交演练报告，并针对演练过程中发现的问题，划分为</w:t>
      </w:r>
      <w:r>
        <w:rPr>
          <w:rFonts w:hint="eastAsia"/>
        </w:rPr>
        <w:t>不足</w:t>
      </w:r>
      <w:r>
        <w:t>项、整改项和改进项。分别进行纠正、整改、改进。</w:t>
      </w:r>
    </w:p>
    <w:p w14:paraId="230D1373">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304" w:name="_Toc20391"/>
      <w:bookmarkStart w:id="305" w:name="_Toc20218_WPSOffice_Level2"/>
      <w:bookmarkStart w:id="306" w:name="_Toc26886"/>
      <w:bookmarkStart w:id="307" w:name="_Toc9896"/>
      <w:bookmarkStart w:id="308" w:name="_Toc27966"/>
      <w:bookmarkStart w:id="309" w:name="_Toc522607549"/>
      <w:bookmarkStart w:id="310" w:name="_Toc519688385"/>
      <w:bookmarkStart w:id="311" w:name="_Toc7814"/>
      <w:bookmarkStart w:id="312" w:name="_Toc3389"/>
      <w:bookmarkStart w:id="313" w:name="_Toc17046"/>
      <w:r>
        <w:rPr>
          <w:rFonts w:ascii="Times New Roman" w:hAnsi="Times New Roman" w:eastAsia="宋体" w:cs="Times New Roman"/>
          <w:b/>
          <w:bCs/>
          <w:kern w:val="2"/>
          <w:sz w:val="30"/>
          <w:szCs w:val="32"/>
          <w:lang w:val="en-US" w:eastAsia="zh-CN" w:bidi="ar-SA"/>
        </w:rPr>
        <w:t>6.</w:t>
      </w:r>
      <w:r>
        <w:rPr>
          <w:rFonts w:hint="eastAsia" w:ascii="Times New Roman" w:hAnsi="Times New Roman" w:eastAsia="宋体" w:cs="Times New Roman"/>
          <w:b/>
          <w:bCs/>
          <w:kern w:val="2"/>
          <w:sz w:val="30"/>
          <w:szCs w:val="32"/>
          <w:lang w:val="en-US" w:eastAsia="zh-CN" w:bidi="ar-SA"/>
        </w:rPr>
        <w:t>6</w:t>
      </w:r>
      <w:r>
        <w:rPr>
          <w:rFonts w:ascii="Times New Roman" w:hAnsi="Times New Roman" w:eastAsia="宋体" w:cs="Times New Roman"/>
          <w:b/>
          <w:bCs/>
          <w:kern w:val="2"/>
          <w:sz w:val="30"/>
          <w:szCs w:val="32"/>
          <w:lang w:val="en-US" w:eastAsia="zh-CN" w:bidi="ar-SA"/>
        </w:rPr>
        <w:t>演练结果</w:t>
      </w:r>
      <w:bookmarkEnd w:id="304"/>
      <w:bookmarkEnd w:id="305"/>
      <w:bookmarkEnd w:id="306"/>
      <w:bookmarkEnd w:id="307"/>
      <w:bookmarkEnd w:id="308"/>
      <w:bookmarkEnd w:id="309"/>
      <w:bookmarkEnd w:id="310"/>
      <w:bookmarkEnd w:id="311"/>
      <w:r>
        <w:rPr>
          <w:rFonts w:hint="eastAsia" w:ascii="Times New Roman" w:hAnsi="Times New Roman" w:eastAsia="宋体" w:cs="Times New Roman"/>
          <w:b/>
          <w:bCs/>
          <w:kern w:val="2"/>
          <w:sz w:val="30"/>
          <w:szCs w:val="32"/>
          <w:lang w:val="en-US" w:eastAsia="zh-CN" w:bidi="ar-SA"/>
        </w:rPr>
        <w:t>激励机制</w:t>
      </w:r>
      <w:bookmarkEnd w:id="312"/>
      <w:bookmarkEnd w:id="313"/>
    </w:p>
    <w:p w14:paraId="520A0F92">
      <w:r>
        <w:t>（1）通过演练观察识别出应急准备缺陷。</w:t>
      </w:r>
    </w:p>
    <w:p w14:paraId="69896150">
      <w:r>
        <w:t>（2）查出需要整改项。</w:t>
      </w:r>
    </w:p>
    <w:p w14:paraId="18A134BA">
      <w:r>
        <w:t>（3）改进应急项目不足部分。</w:t>
      </w:r>
    </w:p>
    <w:p w14:paraId="22191FDD">
      <w:r>
        <w:rPr>
          <w:rFonts w:hint="eastAsia"/>
        </w:rPr>
        <w:t>（4）对演及时练完成并积极配合的单位给予表彰鼓励，鼓励各单位向获得表彰的单位学习。</w:t>
      </w:r>
    </w:p>
    <w:p w14:paraId="1F3A879D">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314" w:name="_Toc522607550"/>
      <w:bookmarkStart w:id="315" w:name="_Toc7072"/>
      <w:bookmarkStart w:id="316" w:name="_Toc15036"/>
      <w:bookmarkStart w:id="317" w:name="_Toc31339"/>
      <w:bookmarkStart w:id="318" w:name="_Toc10918_WPSOffice_Level2"/>
      <w:bookmarkStart w:id="319" w:name="_Toc8006"/>
      <w:bookmarkStart w:id="320" w:name="_Toc519688386"/>
      <w:bookmarkStart w:id="321" w:name="_Toc28678"/>
      <w:bookmarkStart w:id="322" w:name="_Toc29663"/>
      <w:bookmarkStart w:id="323" w:name="_Toc17020"/>
      <w:r>
        <w:rPr>
          <w:rFonts w:ascii="Times New Roman" w:hAnsi="Times New Roman" w:eastAsia="宋体" w:cs="Times New Roman"/>
          <w:b/>
          <w:bCs/>
          <w:kern w:val="2"/>
          <w:sz w:val="30"/>
          <w:szCs w:val="32"/>
          <w:lang w:val="en-US" w:eastAsia="zh-CN" w:bidi="ar-SA"/>
        </w:rPr>
        <w:t>6.</w:t>
      </w:r>
      <w:r>
        <w:rPr>
          <w:rFonts w:hint="eastAsia" w:ascii="Times New Roman" w:hAnsi="Times New Roman" w:eastAsia="宋体" w:cs="Times New Roman"/>
          <w:b/>
          <w:bCs/>
          <w:kern w:val="2"/>
          <w:sz w:val="30"/>
          <w:szCs w:val="32"/>
          <w:lang w:val="en-US" w:eastAsia="zh-CN" w:bidi="ar-SA"/>
        </w:rPr>
        <w:t>7</w:t>
      </w:r>
      <w:r>
        <w:rPr>
          <w:rFonts w:ascii="Times New Roman" w:hAnsi="Times New Roman" w:eastAsia="宋体" w:cs="Times New Roman"/>
          <w:b/>
          <w:bCs/>
          <w:kern w:val="2"/>
          <w:sz w:val="30"/>
          <w:szCs w:val="32"/>
          <w:lang w:val="en-US" w:eastAsia="zh-CN" w:bidi="ar-SA"/>
        </w:rPr>
        <w:t>应急演练注意事项</w:t>
      </w:r>
      <w:bookmarkEnd w:id="314"/>
      <w:bookmarkEnd w:id="315"/>
      <w:bookmarkEnd w:id="316"/>
      <w:bookmarkEnd w:id="317"/>
      <w:bookmarkEnd w:id="318"/>
      <w:bookmarkEnd w:id="319"/>
      <w:bookmarkEnd w:id="320"/>
      <w:bookmarkEnd w:id="321"/>
      <w:bookmarkEnd w:id="322"/>
      <w:bookmarkEnd w:id="323"/>
    </w:p>
    <w:p w14:paraId="4CBB7594">
      <w:r>
        <w:t>通过演练观察识别出应急准备缺陷，查出需要整改项；根据演练结果对应急预案不足部分，进行修订。应急演练中必须特别注意以下几个主要问题：</w:t>
      </w:r>
    </w:p>
    <w:p w14:paraId="4FBBF07A">
      <w:r>
        <w:t>（1）演练过程应尽可能模仿可能事故的真实情况，但不能采用真正的危险状态进行演练，以避免不必要的伤亡；</w:t>
      </w:r>
    </w:p>
    <w:p w14:paraId="33F43166">
      <w:r>
        <w:t>（2）演练之前应对演练情况进行</w:t>
      </w:r>
      <w:r>
        <w:rPr>
          <w:rFonts w:hint="eastAsia"/>
        </w:rPr>
        <w:t>周密</w:t>
      </w:r>
      <w:r>
        <w:t>方案策划。编写场景说明书是方案策划的重要内容；</w:t>
      </w:r>
    </w:p>
    <w:p w14:paraId="5B92C498">
      <w:r>
        <w:t>（3）演练前应对有关人员进行必要培训，但不应将演练的场景介绍给应急响应人员；</w:t>
      </w:r>
    </w:p>
    <w:p w14:paraId="2246E636">
      <w:pPr>
        <w:outlineLvl w:val="3"/>
      </w:pPr>
      <w:r>
        <w:t>（4）演练结束后应认真总结经验教训和整改。</w:t>
      </w:r>
    </w:p>
    <w:p w14:paraId="52BAB198">
      <w:pPr>
        <w:keepNext/>
        <w:keepLines/>
        <w:widowControl w:val="0"/>
        <w:spacing w:before="200" w:after="100" w:line="416" w:lineRule="auto"/>
        <w:ind w:firstLine="0" w:firstLineChars="0"/>
        <w:jc w:val="both"/>
        <w:outlineLvl w:val="1"/>
        <w:rPr>
          <w:rFonts w:ascii="Cambria" w:hAnsi="Cambria" w:eastAsia="宋体" w:cs="Times New Roman"/>
          <w:b/>
          <w:bCs/>
          <w:kern w:val="2"/>
          <w:sz w:val="30"/>
          <w:szCs w:val="32"/>
          <w:lang w:val="en-US" w:eastAsia="zh-CN" w:bidi="ar-SA"/>
        </w:rPr>
      </w:pPr>
      <w:bookmarkStart w:id="324" w:name="_Toc4017"/>
      <w:bookmarkStart w:id="325" w:name="_Toc24635"/>
      <w:bookmarkStart w:id="326" w:name="_Toc17542"/>
      <w:bookmarkStart w:id="327" w:name="_Toc8271"/>
      <w:bookmarkStart w:id="328" w:name="_Toc27331"/>
      <w:bookmarkStart w:id="329" w:name="_Toc13236_WPSOffice_Level1"/>
      <w:bookmarkStart w:id="330" w:name="_Toc28669"/>
      <w:bookmarkStart w:id="331" w:name="_Toc18806"/>
      <w:r>
        <w:rPr>
          <w:rFonts w:hint="eastAsia" w:ascii="Cambria" w:hAnsi="Cambria" w:eastAsia="宋体" w:cs="Times New Roman"/>
          <w:b/>
          <w:bCs/>
          <w:kern w:val="2"/>
          <w:sz w:val="30"/>
          <w:szCs w:val="32"/>
          <w:lang w:val="en-US" w:eastAsia="zh-CN" w:bidi="ar-SA"/>
        </w:rPr>
        <w:t>7</w:t>
      </w:r>
      <w:r>
        <w:rPr>
          <w:rFonts w:ascii="Cambria" w:hAnsi="Cambria" w:eastAsia="宋体" w:cs="Times New Roman"/>
          <w:b/>
          <w:bCs/>
          <w:kern w:val="2"/>
          <w:sz w:val="30"/>
          <w:szCs w:val="32"/>
          <w:lang w:val="en-US" w:eastAsia="zh-CN" w:bidi="ar-SA"/>
        </w:rPr>
        <w:t>、附则</w:t>
      </w:r>
      <w:bookmarkEnd w:id="324"/>
      <w:bookmarkEnd w:id="325"/>
      <w:bookmarkEnd w:id="326"/>
      <w:bookmarkEnd w:id="327"/>
      <w:bookmarkEnd w:id="328"/>
      <w:bookmarkEnd w:id="329"/>
      <w:bookmarkEnd w:id="330"/>
      <w:bookmarkEnd w:id="331"/>
    </w:p>
    <w:p w14:paraId="2B0CCFFD">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332" w:name="_Toc19039"/>
      <w:bookmarkStart w:id="333" w:name="_Toc16191"/>
      <w:bookmarkStart w:id="334" w:name="_Toc15074"/>
      <w:bookmarkStart w:id="335" w:name="_Toc28210"/>
      <w:bookmarkStart w:id="336" w:name="_Toc30922"/>
      <w:bookmarkStart w:id="337" w:name="_Toc10021"/>
      <w:bookmarkStart w:id="338" w:name="_Toc25648"/>
      <w:bookmarkStart w:id="339" w:name="_Toc15552_WPSOffice_Level2"/>
      <w:r>
        <w:rPr>
          <w:rFonts w:hint="eastAsia" w:ascii="Times New Roman" w:hAnsi="Times New Roman" w:eastAsia="宋体" w:cs="Times New Roman"/>
          <w:b/>
          <w:bCs/>
          <w:kern w:val="2"/>
          <w:sz w:val="30"/>
          <w:szCs w:val="32"/>
          <w:lang w:val="en-US" w:eastAsia="zh-CN" w:bidi="ar-SA"/>
        </w:rPr>
        <w:t>7.1名词术语解释</w:t>
      </w:r>
      <w:bookmarkEnd w:id="332"/>
      <w:bookmarkEnd w:id="333"/>
    </w:p>
    <w:p w14:paraId="4FCEEED1">
      <w:r>
        <w:t>（1）集中式地表水饮用水水源地：指进入输水管网、送到用户且具有一定取水规模（供水人口一般大于1000人）的在用、备用和规划的地表水饮用水水源地。依据取水口所在水体类型不同，可分为河流型水源地和湖泊（水库）型水源地。</w:t>
      </w:r>
    </w:p>
    <w:p w14:paraId="70B5C387">
      <w:r>
        <w:t>（2）饮用水水源保护区：指国家为防治饮用水水源地污染、保障水源地环境质量而划定，并要求加以特殊保护的一定面积的水域和陆域。饮用水水源保护区（以下简称水源保护区）分为一级保护区和二级保护区，必要时可在水源保护区外划定准保护区。</w:t>
      </w:r>
    </w:p>
    <w:p w14:paraId="04A9244D">
      <w:r>
        <w:t>（3）地表水饮用水水源地风险物质（以下简称水源地风险物质）：指《地表水环境质量标准》中表1、表2、表3所包含的项目与物质，以及该标准之外其他可能影响人体健康的项目与物质。</w:t>
      </w:r>
    </w:p>
    <w:p w14:paraId="5BACDECB">
      <w:r>
        <w:t>（4）饮用水水源地突发环境事件（以下简称水源地突发环境事件）：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w:t>
      </w:r>
    </w:p>
    <w:p w14:paraId="5E169B0D">
      <w:r>
        <w:t>（5）水质超标：指水源地水质超过《地表水环境质量标准》规定的III类水质标准或标准限值的要求。</w:t>
      </w:r>
    </w:p>
    <w:p w14:paraId="082F28FA">
      <w:r>
        <w:t>（6）环境应急：针对可能或已发生的突发环境事件需要立即采取某些超出正常工作程序的行动，以避免事件发生或减轻事件后果的状态，也称为紧急状态；同时也泛指立即采取超出正常工作程序的行动。</w:t>
      </w:r>
    </w:p>
    <w:p w14:paraId="35BFD013">
      <w:r>
        <w:t>（7）先期处置：是指突发环境事件发生后在事发地第一时间内所采取的紧急措施。</w:t>
      </w:r>
    </w:p>
    <w:p w14:paraId="517957DB">
      <w:r>
        <w:t>（8）后期处置：是指突发环境事件的危害和影响得到基本控制后，为使生产、工作、生活、社会秩序和生态环境恢复正常状态在事件后期所采取的一系列行动。</w:t>
      </w:r>
    </w:p>
    <w:p w14:paraId="6F98E8F3">
      <w:r>
        <w:t>（9）经济损失：包括环境污染行为造成的财产损毁、减少的账面价值，为防止污染扩大以及消除污染而采取的必要的、合理的措施而发生的费用。</w:t>
      </w:r>
    </w:p>
    <w:p w14:paraId="3C417EC0">
      <w:r>
        <w:t>（10）环境应急监测：是指环境应急情况下，为发现和查明环境污染情况和污染范围而进行的环境监测。包括定点监测和动态监测。</w:t>
      </w:r>
    </w:p>
    <w:p w14:paraId="21F965D5">
      <w:r>
        <w:t>（11）泄漏处理：泄漏处理是指污染源因事件发生泄漏时所采取的应急处置措施。泄漏处理要及时、得当，避免重大事件的发生。泄漏处理一般分为泄漏源控制和泄漏物处置两部分。</w:t>
      </w:r>
    </w:p>
    <w:p w14:paraId="2F16ED7E">
      <w:r>
        <w:t>（12）应急演练：是指为检验应急预案的有效性、应急准备的完善性、应急响应能力的适应性和应急人员的协同性而进行的一种模拟应急响应的实践活动。根据所涉及的内容和范围的不同，可分为单项演练和综合演练。</w:t>
      </w:r>
    </w:p>
    <w:p w14:paraId="07C1006B">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340" w:name="_Toc31354"/>
      <w:bookmarkStart w:id="341" w:name="_Toc14338"/>
      <w:r>
        <w:rPr>
          <w:rFonts w:ascii="Times New Roman" w:hAnsi="Times New Roman" w:eastAsia="宋体" w:cs="Times New Roman"/>
          <w:b/>
          <w:bCs/>
          <w:kern w:val="2"/>
          <w:sz w:val="30"/>
          <w:szCs w:val="32"/>
          <w:lang w:val="en-US" w:eastAsia="zh-CN" w:bidi="ar-SA"/>
        </w:rPr>
        <w:t>7.</w:t>
      </w:r>
      <w:r>
        <w:rPr>
          <w:rFonts w:hint="eastAsia" w:ascii="Times New Roman" w:hAnsi="Times New Roman" w:eastAsia="宋体" w:cs="Times New Roman"/>
          <w:b/>
          <w:bCs/>
          <w:kern w:val="2"/>
          <w:sz w:val="30"/>
          <w:szCs w:val="32"/>
          <w:lang w:val="en-US" w:eastAsia="zh-CN" w:bidi="ar-SA"/>
        </w:rPr>
        <w:t>2</w:t>
      </w:r>
      <w:r>
        <w:rPr>
          <w:rFonts w:ascii="Times New Roman" w:hAnsi="Times New Roman" w:eastAsia="宋体" w:cs="Times New Roman"/>
          <w:b/>
          <w:bCs/>
          <w:kern w:val="2"/>
          <w:sz w:val="30"/>
          <w:szCs w:val="32"/>
          <w:lang w:val="en-US" w:eastAsia="zh-CN" w:bidi="ar-SA"/>
        </w:rPr>
        <w:t>预案解释权属</w:t>
      </w:r>
      <w:bookmarkEnd w:id="334"/>
      <w:bookmarkEnd w:id="335"/>
      <w:bookmarkEnd w:id="336"/>
      <w:bookmarkEnd w:id="337"/>
      <w:bookmarkEnd w:id="338"/>
      <w:bookmarkEnd w:id="339"/>
      <w:bookmarkEnd w:id="340"/>
      <w:bookmarkEnd w:id="341"/>
    </w:p>
    <w:p w14:paraId="1F918154">
      <w:r>
        <w:t>《武陵源区董家峪水库饮用水水源地应急预案》的解释权</w:t>
      </w:r>
      <w:r>
        <w:rPr>
          <w:rFonts w:hint="eastAsia"/>
        </w:rPr>
        <w:t>属于</w:t>
      </w:r>
      <w:r>
        <w:t>武陵源区人民政府。</w:t>
      </w:r>
    </w:p>
    <w:p w14:paraId="4E2000E4">
      <w:pPr>
        <w:keepNext/>
        <w:keepLines/>
        <w:widowControl w:val="0"/>
        <w:spacing w:before="100" w:line="416" w:lineRule="auto"/>
        <w:ind w:firstLine="0" w:firstLineChars="0"/>
        <w:jc w:val="both"/>
        <w:outlineLvl w:val="2"/>
        <w:rPr>
          <w:rFonts w:ascii="Times New Roman" w:hAnsi="Times New Roman" w:eastAsia="宋体" w:cs="Times New Roman"/>
          <w:b/>
          <w:bCs/>
          <w:kern w:val="2"/>
          <w:sz w:val="30"/>
          <w:szCs w:val="32"/>
          <w:lang w:val="en-US" w:eastAsia="zh-CN" w:bidi="ar-SA"/>
        </w:rPr>
      </w:pPr>
      <w:bookmarkStart w:id="342" w:name="_Toc10482"/>
      <w:bookmarkStart w:id="343" w:name="_Toc11910"/>
      <w:bookmarkStart w:id="344" w:name="_Toc11688"/>
      <w:bookmarkStart w:id="345" w:name="_Toc28613_WPSOffice_Level2"/>
      <w:bookmarkStart w:id="346" w:name="_Toc13150"/>
      <w:bookmarkStart w:id="347" w:name="_Toc12868"/>
      <w:bookmarkStart w:id="348" w:name="_Toc5301"/>
      <w:bookmarkStart w:id="349" w:name="_Toc28162"/>
      <w:r>
        <w:rPr>
          <w:rFonts w:ascii="Times New Roman" w:hAnsi="Times New Roman" w:eastAsia="宋体" w:cs="Times New Roman"/>
          <w:b/>
          <w:bCs/>
          <w:kern w:val="2"/>
          <w:sz w:val="30"/>
          <w:szCs w:val="32"/>
          <w:lang w:val="en-US" w:eastAsia="zh-CN" w:bidi="ar-SA"/>
        </w:rPr>
        <w:t>7.</w:t>
      </w:r>
      <w:r>
        <w:rPr>
          <w:rFonts w:hint="eastAsia" w:ascii="Times New Roman" w:hAnsi="Times New Roman" w:eastAsia="宋体" w:cs="Times New Roman"/>
          <w:b/>
          <w:bCs/>
          <w:kern w:val="2"/>
          <w:sz w:val="30"/>
          <w:szCs w:val="32"/>
          <w:lang w:val="en-US" w:eastAsia="zh-CN" w:bidi="ar-SA"/>
        </w:rPr>
        <w:t>3</w:t>
      </w:r>
      <w:r>
        <w:rPr>
          <w:rFonts w:ascii="Times New Roman" w:hAnsi="Times New Roman" w:eastAsia="宋体" w:cs="Times New Roman"/>
          <w:b/>
          <w:bCs/>
          <w:kern w:val="2"/>
          <w:sz w:val="30"/>
          <w:szCs w:val="32"/>
          <w:lang w:val="en-US" w:eastAsia="zh-CN" w:bidi="ar-SA"/>
        </w:rPr>
        <w:t>预案实施日期</w:t>
      </w:r>
      <w:bookmarkEnd w:id="342"/>
      <w:bookmarkEnd w:id="343"/>
      <w:bookmarkEnd w:id="344"/>
      <w:bookmarkEnd w:id="345"/>
      <w:bookmarkEnd w:id="346"/>
      <w:bookmarkEnd w:id="347"/>
      <w:bookmarkEnd w:id="348"/>
      <w:bookmarkEnd w:id="349"/>
    </w:p>
    <w:p w14:paraId="18AE2D45">
      <w:r>
        <w:t>应急预案的印发和实施时间由武陵源区人民政府确定。</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6CFE5">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8CFA5">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848CFA5">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82E56F"/>
    <w:multiLevelType w:val="multilevel"/>
    <w:tmpl w:val="5982E56F"/>
    <w:lvl w:ilvl="0" w:tentative="0">
      <w:start w:val="1"/>
      <w:numFmt w:val="decimal"/>
      <w:suff w:val="space"/>
      <w:lvlText w:val="%1"/>
      <w:lvlJc w:val="left"/>
      <w:pPr>
        <w:ind w:left="0" w:firstLine="0"/>
      </w:pPr>
      <w:rPr>
        <w:rFonts w:hint="default" w:ascii="Times New Roman" w:hAnsi="Times New Roman" w:eastAsia="宋体" w:cs="Times New Roman"/>
        <w:b/>
        <w:i w:val="0"/>
        <w:sz w:val="30"/>
      </w:rPr>
    </w:lvl>
    <w:lvl w:ilvl="1" w:tentative="0">
      <w:start w:val="1"/>
      <w:numFmt w:val="decimal"/>
      <w:suff w:val="space"/>
      <w:lvlText w:val="%1.%2"/>
      <w:lvlJc w:val="left"/>
      <w:pPr>
        <w:ind w:left="10491" w:firstLine="0"/>
      </w:pPr>
      <w:rPr>
        <w:rFonts w:hint="default" w:ascii="Times New Roman" w:hAnsi="Times New Roman" w:eastAsia="宋体" w:cs="Times New Roman"/>
        <w:b/>
        <w:i w:val="0"/>
        <w:sz w:val="28"/>
      </w:rPr>
    </w:lvl>
    <w:lvl w:ilvl="2" w:tentative="0">
      <w:start w:val="1"/>
      <w:numFmt w:val="decimal"/>
      <w:suff w:val="space"/>
      <w:lvlText w:val="%1.%2.%3"/>
      <w:lvlJc w:val="left"/>
      <w:pPr>
        <w:ind w:left="0" w:firstLine="0"/>
      </w:pPr>
      <w:rPr>
        <w:rFonts w:hint="default" w:ascii="Times New Roman" w:hAnsi="Times New Roman" w:eastAsia="宋体" w:cs="Times New Roman"/>
        <w:b/>
        <w:i w:val="0"/>
        <w:color w:val="auto"/>
        <w:sz w:val="24"/>
        <w:szCs w:val="24"/>
        <w:lang w:val="en-US"/>
      </w:rPr>
    </w:lvl>
    <w:lvl w:ilvl="3" w:tentative="0">
      <w:start w:val="1"/>
      <w:numFmt w:val="decimal"/>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suff w:val="space"/>
      <w:lvlText w:val="%1.%2.%3.%4.%5"/>
      <w:lvlJc w:val="left"/>
      <w:pPr>
        <w:ind w:left="0" w:firstLine="0"/>
      </w:pPr>
      <w:rPr>
        <w:rFonts w:hint="eastAsia" w:ascii="Arial Unicode MS" w:hAnsi="Arial Unicode MS" w:eastAsia="宋体"/>
        <w:b/>
        <w:i w:val="0"/>
        <w:sz w:val="24"/>
      </w:rPr>
    </w:lvl>
    <w:lvl w:ilvl="5" w:tentative="0">
      <w:start w:val="1"/>
      <w:numFmt w:val="decimal"/>
      <w:pStyle w:val="7"/>
      <w:lvlText w:val="%1.%2.%3.%4.%5.%6"/>
      <w:lvlJc w:val="left"/>
      <w:pPr>
        <w:ind w:left="0" w:firstLine="0"/>
      </w:pPr>
      <w:rPr>
        <w:rFonts w:hint="eastAsia"/>
        <w:sz w:val="24"/>
      </w:rPr>
    </w:lvl>
    <w:lvl w:ilvl="6" w:tentative="0">
      <w:start w:val="1"/>
      <w:numFmt w:val="decimal"/>
      <w:pStyle w:val="8"/>
      <w:lvlText w:val="%1.%2.%3.%4.%5.%6.%7"/>
      <w:lvlJc w:val="left"/>
      <w:pPr>
        <w:ind w:left="0" w:firstLine="0"/>
      </w:pPr>
      <w:rPr>
        <w:rFonts w:hint="eastAsia"/>
        <w:sz w:val="24"/>
      </w:rPr>
    </w:lvl>
    <w:lvl w:ilvl="7" w:tentative="0">
      <w:start w:val="1"/>
      <w:numFmt w:val="decimal"/>
      <w:pStyle w:val="9"/>
      <w:lvlText w:val="%1.%2.%3.%4.%5.%6.%7.%8"/>
      <w:lvlJc w:val="left"/>
      <w:pPr>
        <w:ind w:left="0" w:firstLine="0"/>
      </w:pPr>
      <w:rPr>
        <w:rFonts w:hint="eastAsia"/>
        <w:sz w:val="24"/>
      </w:rPr>
    </w:lvl>
    <w:lvl w:ilvl="8" w:tentative="0">
      <w:start w:val="1"/>
      <w:numFmt w:val="decimal"/>
      <w:lvlText w:val="%1.%2.%3.%4.%5.%6.%7.%8.%9"/>
      <w:lvlJc w:val="left"/>
      <w:pPr>
        <w:ind w:left="0" w:firstLine="0"/>
      </w:pPr>
      <w:rPr>
        <w:rFonts w:hint="eastAsia"/>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4Zjg0NzRlZWY2NWEyMzUwMzZjZWRmZTNlNmUzYTIifQ=="/>
  </w:docVars>
  <w:rsids>
    <w:rsidRoot w:val="2D717B5A"/>
    <w:rsid w:val="016800C3"/>
    <w:rsid w:val="017E4628"/>
    <w:rsid w:val="01836467"/>
    <w:rsid w:val="01CF62AB"/>
    <w:rsid w:val="028A5EDF"/>
    <w:rsid w:val="065165EA"/>
    <w:rsid w:val="068369F2"/>
    <w:rsid w:val="076D4570"/>
    <w:rsid w:val="078A3D60"/>
    <w:rsid w:val="07D76E30"/>
    <w:rsid w:val="08314464"/>
    <w:rsid w:val="098B22E5"/>
    <w:rsid w:val="0A7E6051"/>
    <w:rsid w:val="0B322488"/>
    <w:rsid w:val="0C472C0E"/>
    <w:rsid w:val="0F964F8A"/>
    <w:rsid w:val="12747B4B"/>
    <w:rsid w:val="1283479B"/>
    <w:rsid w:val="13B01E77"/>
    <w:rsid w:val="13F40686"/>
    <w:rsid w:val="159D0F39"/>
    <w:rsid w:val="17795016"/>
    <w:rsid w:val="1A1D29DB"/>
    <w:rsid w:val="1BF92382"/>
    <w:rsid w:val="1C43089F"/>
    <w:rsid w:val="1D543541"/>
    <w:rsid w:val="1D67510A"/>
    <w:rsid w:val="1E356BCA"/>
    <w:rsid w:val="213C5DDD"/>
    <w:rsid w:val="228009E1"/>
    <w:rsid w:val="267320AA"/>
    <w:rsid w:val="26E47085"/>
    <w:rsid w:val="27436C8B"/>
    <w:rsid w:val="27FC7440"/>
    <w:rsid w:val="2858552C"/>
    <w:rsid w:val="28CF17A8"/>
    <w:rsid w:val="2AC623AD"/>
    <w:rsid w:val="2ADE3C4B"/>
    <w:rsid w:val="2BA74026"/>
    <w:rsid w:val="2D717B5A"/>
    <w:rsid w:val="2DC52DD8"/>
    <w:rsid w:val="2DC60696"/>
    <w:rsid w:val="30322A82"/>
    <w:rsid w:val="3082269A"/>
    <w:rsid w:val="312C2ADC"/>
    <w:rsid w:val="31A96724"/>
    <w:rsid w:val="33DE0F67"/>
    <w:rsid w:val="34E34B75"/>
    <w:rsid w:val="38845C63"/>
    <w:rsid w:val="38F77C17"/>
    <w:rsid w:val="395B12C8"/>
    <w:rsid w:val="39A71C42"/>
    <w:rsid w:val="3AD46C94"/>
    <w:rsid w:val="3B357551"/>
    <w:rsid w:val="3B5007BB"/>
    <w:rsid w:val="3CCF79DA"/>
    <w:rsid w:val="3D196187"/>
    <w:rsid w:val="3D3A18CF"/>
    <w:rsid w:val="3F674080"/>
    <w:rsid w:val="401C4056"/>
    <w:rsid w:val="40843EB2"/>
    <w:rsid w:val="43E17760"/>
    <w:rsid w:val="446379C6"/>
    <w:rsid w:val="45FE1449"/>
    <w:rsid w:val="4667463A"/>
    <w:rsid w:val="47992756"/>
    <w:rsid w:val="4896624D"/>
    <w:rsid w:val="48CF1742"/>
    <w:rsid w:val="4B1F5D09"/>
    <w:rsid w:val="4CF3411F"/>
    <w:rsid w:val="4FB6069C"/>
    <w:rsid w:val="50EB7E71"/>
    <w:rsid w:val="52CF4F80"/>
    <w:rsid w:val="536D38D5"/>
    <w:rsid w:val="54D12D71"/>
    <w:rsid w:val="55392A77"/>
    <w:rsid w:val="556C0470"/>
    <w:rsid w:val="5615448B"/>
    <w:rsid w:val="575D555E"/>
    <w:rsid w:val="5761173E"/>
    <w:rsid w:val="57F5417D"/>
    <w:rsid w:val="58070CE6"/>
    <w:rsid w:val="5A651E78"/>
    <w:rsid w:val="5B0D4D97"/>
    <w:rsid w:val="5CC66A67"/>
    <w:rsid w:val="5D04337E"/>
    <w:rsid w:val="5D7739CD"/>
    <w:rsid w:val="5E6E483B"/>
    <w:rsid w:val="5EDF475D"/>
    <w:rsid w:val="5EEF3EA0"/>
    <w:rsid w:val="60940AF0"/>
    <w:rsid w:val="60D07165"/>
    <w:rsid w:val="636853D6"/>
    <w:rsid w:val="63EB36AF"/>
    <w:rsid w:val="648653F4"/>
    <w:rsid w:val="66476D2B"/>
    <w:rsid w:val="69232124"/>
    <w:rsid w:val="699C7922"/>
    <w:rsid w:val="69B41F21"/>
    <w:rsid w:val="6AA7642F"/>
    <w:rsid w:val="6BBB1516"/>
    <w:rsid w:val="6C205100"/>
    <w:rsid w:val="6C244C49"/>
    <w:rsid w:val="6E2E4D0A"/>
    <w:rsid w:val="73536C80"/>
    <w:rsid w:val="73D93204"/>
    <w:rsid w:val="74F04745"/>
    <w:rsid w:val="768F7D0A"/>
    <w:rsid w:val="76914FA4"/>
    <w:rsid w:val="7EBB0B61"/>
    <w:rsid w:val="7F105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styleId="2">
    <w:name w:val="heading 1"/>
    <w:basedOn w:val="1"/>
    <w:next w:val="1"/>
    <w:link w:val="21"/>
    <w:qFormat/>
    <w:uiPriority w:val="0"/>
    <w:pPr>
      <w:keepNext/>
      <w:keepLines/>
      <w:spacing w:before="100" w:after="100" w:line="360" w:lineRule="auto"/>
      <w:outlineLvl w:val="0"/>
    </w:pPr>
    <w:rPr>
      <w:rFonts w:asciiTheme="minorAscii" w:hAnsiTheme="minorAscii"/>
      <w:b/>
      <w:bCs/>
      <w:kern w:val="44"/>
      <w:szCs w:val="44"/>
    </w:rPr>
  </w:style>
  <w:style w:type="paragraph" w:styleId="3">
    <w:name w:val="heading 2"/>
    <w:basedOn w:val="1"/>
    <w:next w:val="1"/>
    <w:link w:val="22"/>
    <w:semiHidden/>
    <w:unhideWhenUsed/>
    <w:qFormat/>
    <w:uiPriority w:val="0"/>
    <w:pPr>
      <w:keepNext/>
      <w:keepLines/>
      <w:spacing w:before="80" w:after="80" w:line="360" w:lineRule="auto"/>
      <w:outlineLvl w:val="1"/>
    </w:pPr>
    <w:rPr>
      <w:rFonts w:eastAsia="仿宋" w:asciiTheme="majorAscii" w:hAnsiTheme="majorAscii" w:cstheme="majorBidi"/>
      <w:b/>
      <w:bCs/>
      <w:szCs w:val="32"/>
    </w:rPr>
  </w:style>
  <w:style w:type="paragraph" w:styleId="4">
    <w:name w:val="heading 3"/>
    <w:basedOn w:val="1"/>
    <w:next w:val="1"/>
    <w:link w:val="23"/>
    <w:autoRedefine/>
    <w:semiHidden/>
    <w:unhideWhenUsed/>
    <w:qFormat/>
    <w:uiPriority w:val="0"/>
    <w:pPr>
      <w:keepNext/>
      <w:keepLines/>
      <w:spacing w:before="60" w:after="60" w:line="360" w:lineRule="auto"/>
      <w:outlineLvl w:val="2"/>
    </w:pPr>
    <w:rPr>
      <w:rFonts w:cs="仿宋" w:asciiTheme="minorAscii" w:hAnsiTheme="minorAscii" w:eastAsiaTheme="minorEastAsia"/>
      <w:b/>
      <w:bCs/>
      <w:szCs w:val="32"/>
    </w:rPr>
  </w:style>
  <w:style w:type="paragraph" w:styleId="5">
    <w:name w:val="heading 4"/>
    <w:basedOn w:val="1"/>
    <w:next w:val="1"/>
    <w:link w:val="24"/>
    <w:semiHidden/>
    <w:unhideWhenUsed/>
    <w:qFormat/>
    <w:uiPriority w:val="0"/>
    <w:pPr>
      <w:keepNext/>
      <w:keepLines/>
      <w:spacing w:line="360" w:lineRule="auto"/>
      <w:ind w:firstLine="0" w:firstLineChars="0"/>
      <w:outlineLvl w:val="3"/>
    </w:pPr>
    <w:rPr>
      <w:rFonts w:ascii="Cambria" w:hAnsi="Cambria"/>
      <w:b/>
      <w:bCs/>
      <w:kern w:val="0"/>
      <w:szCs w:val="28"/>
    </w:rPr>
  </w:style>
  <w:style w:type="paragraph" w:styleId="6">
    <w:name w:val="heading 5"/>
    <w:basedOn w:val="1"/>
    <w:next w:val="1"/>
    <w:link w:val="25"/>
    <w:autoRedefine/>
    <w:semiHidden/>
    <w:unhideWhenUsed/>
    <w:qFormat/>
    <w:uiPriority w:val="0"/>
    <w:pPr>
      <w:keepNext/>
      <w:keepLines/>
      <w:spacing w:line="360" w:lineRule="auto"/>
      <w:ind w:firstLine="0" w:firstLineChars="0"/>
      <w:outlineLvl w:val="4"/>
    </w:pPr>
    <w:rPr>
      <w:b/>
      <w:bCs/>
      <w:szCs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firstLine="0"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0"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firstLine="0" w:firstLineChars="0"/>
      <w:outlineLvl w:val="7"/>
    </w:pPr>
    <w:rPr>
      <w:rFonts w:ascii="Arial" w:hAnsi="Arial" w:eastAsia="黑体"/>
      <w:sz w:val="24"/>
    </w:rPr>
  </w:style>
  <w:style w:type="character" w:default="1" w:styleId="20">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10">
    <w:name w:val="Normal Indent"/>
    <w:basedOn w:val="1"/>
    <w:qFormat/>
    <w:uiPriority w:val="0"/>
    <w:pPr>
      <w:ind w:firstLine="420" w:firstLineChars="200"/>
    </w:pPr>
  </w:style>
  <w:style w:type="paragraph" w:styleId="11">
    <w:name w:val="Body Text"/>
    <w:basedOn w:val="1"/>
    <w:link w:val="28"/>
    <w:qFormat/>
    <w:uiPriority w:val="0"/>
    <w:rPr>
      <w:kern w:val="0"/>
      <w:szCs w:val="20"/>
    </w:rPr>
  </w:style>
  <w:style w:type="paragraph" w:styleId="12">
    <w:name w:val="toc 3"/>
    <w:basedOn w:val="1"/>
    <w:next w:val="1"/>
    <w:qFormat/>
    <w:uiPriority w:val="0"/>
    <w:pPr>
      <w:tabs>
        <w:tab w:val="right" w:leader="dot" w:pos="8777"/>
      </w:tabs>
      <w:ind w:firstLine="1928" w:firstLineChars="400"/>
    </w:pPr>
    <w:rPr>
      <w:rFonts w:eastAsia="宋体" w:cs="Times New Roman"/>
      <w:iCs/>
      <w:sz w:val="21"/>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line="240" w:lineRule="auto"/>
      <w:ind w:firstLine="0" w:firstLineChars="0"/>
    </w:pPr>
    <w:rPr>
      <w:sz w:val="21"/>
    </w:rPr>
  </w:style>
  <w:style w:type="paragraph" w:styleId="16">
    <w:name w:val="toc 2"/>
    <w:basedOn w:val="1"/>
    <w:next w:val="1"/>
    <w:qFormat/>
    <w:uiPriority w:val="0"/>
    <w:pPr>
      <w:widowControl/>
      <w:tabs>
        <w:tab w:val="right" w:leader="dot" w:pos="8777"/>
      </w:tabs>
      <w:adjustRightInd w:val="0"/>
      <w:snapToGrid w:val="0"/>
      <w:ind w:firstLine="482" w:firstLineChars="100"/>
      <w:jc w:val="left"/>
    </w:pPr>
    <w:rPr>
      <w:rFonts w:eastAsia="宋体" w:cs="Times New Roman"/>
      <w:smallCaps/>
      <w:sz w:val="21"/>
      <w:szCs w:val="20"/>
    </w:rPr>
  </w:style>
  <w:style w:type="paragraph" w:styleId="17">
    <w:name w:val="Normal (Web)"/>
    <w:basedOn w:val="1"/>
    <w:qFormat/>
    <w:uiPriority w:val="0"/>
    <w:pPr>
      <w:widowControl/>
      <w:spacing w:before="100" w:beforeAutospacing="1" w:after="100" w:afterAutospacing="1"/>
      <w:jc w:val="both"/>
    </w:pPr>
    <w:rPr>
      <w:rFonts w:ascii="宋体" w:hAnsi="宋体" w:eastAsia="仿宋" w:cs="宋体"/>
      <w:kern w:val="0"/>
      <w:sz w:val="28"/>
      <w:szCs w:val="24"/>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21">
    <w:name w:val="标题 1 Char"/>
    <w:basedOn w:val="20"/>
    <w:link w:val="2"/>
    <w:autoRedefine/>
    <w:qFormat/>
    <w:uiPriority w:val="9"/>
    <w:rPr>
      <w:rFonts w:asciiTheme="minorAscii" w:hAnsiTheme="minorAscii"/>
      <w:b/>
      <w:bCs/>
      <w:kern w:val="44"/>
      <w:sz w:val="28"/>
      <w:szCs w:val="44"/>
    </w:rPr>
  </w:style>
  <w:style w:type="character" w:customStyle="1" w:styleId="22">
    <w:name w:val="标题 2 Char"/>
    <w:basedOn w:val="20"/>
    <w:link w:val="3"/>
    <w:qFormat/>
    <w:uiPriority w:val="9"/>
    <w:rPr>
      <w:rFonts w:eastAsia="仿宋" w:asciiTheme="majorAscii" w:hAnsiTheme="majorAscii" w:cstheme="majorBidi"/>
      <w:b/>
      <w:bCs/>
      <w:sz w:val="28"/>
      <w:szCs w:val="32"/>
    </w:rPr>
  </w:style>
  <w:style w:type="character" w:customStyle="1" w:styleId="23">
    <w:name w:val="标题 3 Char"/>
    <w:basedOn w:val="20"/>
    <w:link w:val="4"/>
    <w:qFormat/>
    <w:uiPriority w:val="9"/>
    <w:rPr>
      <w:rFonts w:cs="仿宋" w:asciiTheme="minorAscii" w:hAnsiTheme="minorAscii" w:eastAsiaTheme="minorEastAsia"/>
      <w:b/>
      <w:bCs/>
      <w:sz w:val="28"/>
      <w:szCs w:val="32"/>
    </w:rPr>
  </w:style>
  <w:style w:type="character" w:customStyle="1" w:styleId="24">
    <w:name w:val="标题 4 Char"/>
    <w:basedOn w:val="20"/>
    <w:link w:val="5"/>
    <w:autoRedefine/>
    <w:qFormat/>
    <w:uiPriority w:val="9"/>
    <w:rPr>
      <w:rFonts w:ascii="Cambria" w:hAnsi="Cambria" w:eastAsia="宋体" w:cs="Times New Roman"/>
      <w:b/>
      <w:bCs/>
      <w:sz w:val="24"/>
      <w:szCs w:val="28"/>
    </w:rPr>
  </w:style>
  <w:style w:type="character" w:customStyle="1" w:styleId="25">
    <w:name w:val="标题 5 Char"/>
    <w:link w:val="6"/>
    <w:qFormat/>
    <w:uiPriority w:val="0"/>
    <w:rPr>
      <w:rFonts w:eastAsia="宋体"/>
      <w:b/>
      <w:bCs/>
      <w:kern w:val="2"/>
      <w:sz w:val="28"/>
      <w:szCs w:val="28"/>
    </w:rPr>
  </w:style>
  <w:style w:type="paragraph" w:customStyle="1" w:styleId="26">
    <w:name w:val="1正文"/>
    <w:link w:val="27"/>
    <w:autoRedefine/>
    <w:qFormat/>
    <w:uiPriority w:val="99"/>
    <w:pPr>
      <w:snapToGrid w:val="0"/>
      <w:spacing w:line="360" w:lineRule="auto"/>
      <w:ind w:firstLine="200" w:firstLineChars="200"/>
      <w:jc w:val="both"/>
    </w:pPr>
    <w:rPr>
      <w:rFonts w:ascii="Times New Roman" w:hAnsi="Times New Roman" w:eastAsia="宋体" w:cstheme="minorBidi"/>
      <w:kern w:val="2"/>
      <w:sz w:val="28"/>
      <w:szCs w:val="24"/>
      <w:lang w:val="en-US" w:eastAsia="zh-CN" w:bidi="ar-SA"/>
    </w:rPr>
  </w:style>
  <w:style w:type="character" w:customStyle="1" w:styleId="27">
    <w:name w:val="1正文 Char"/>
    <w:link w:val="26"/>
    <w:qFormat/>
    <w:locked/>
    <w:uiPriority w:val="99"/>
    <w:rPr>
      <w:rFonts w:ascii="Times New Roman" w:hAnsi="Times New Roman" w:eastAsia="宋体"/>
      <w:kern w:val="2"/>
      <w:sz w:val="28"/>
      <w:szCs w:val="24"/>
      <w:lang w:val="en-US" w:eastAsia="zh-CN" w:bidi="ar-SA"/>
    </w:rPr>
  </w:style>
  <w:style w:type="character" w:customStyle="1" w:styleId="28">
    <w:name w:val=" Char Char16"/>
    <w:link w:val="11"/>
    <w:qFormat/>
    <w:locked/>
    <w:uiPriority w:val="99"/>
    <w:rPr>
      <w:rFonts w:eastAsia="宋体" w:cs="Times New Roman"/>
      <w:sz w:val="28"/>
    </w:rPr>
  </w:style>
  <w:style w:type="paragraph" w:customStyle="1" w:styleId="29">
    <w:name w:val="1大标题"/>
    <w:qFormat/>
    <w:uiPriority w:val="99"/>
    <w:pPr>
      <w:spacing w:line="360" w:lineRule="auto"/>
      <w:jc w:val="center"/>
      <w:outlineLvl w:val="0"/>
    </w:pPr>
    <w:rPr>
      <w:rFonts w:ascii="Times New Roman" w:hAnsi="Times New Roman" w:eastAsia="宋体" w:cstheme="minorBidi"/>
      <w:b/>
      <w:kern w:val="2"/>
      <w:sz w:val="36"/>
      <w:szCs w:val="3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4216</Words>
  <Characters>4566</Characters>
  <Lines>0</Lines>
  <Paragraphs>0</Paragraphs>
  <TotalTime>0</TotalTime>
  <ScaleCrop>false</ScaleCrop>
  <LinksUpToDate>false</LinksUpToDate>
  <CharactersWithSpaces>4697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2024-06-18T07:50:00Z</dcterms:created>
  <dc:creator>九降风</dc:creator>
  <cp:lastModifiedBy>英伦</cp:lastModifiedBy>
  <dcterms:modified xsi:type="dcterms:W3CDTF">2024-12-25T07:26:06Z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EE2FC408C6B04BB5AF90259578DDE108_11</vt:lpwstr>
  </property>
</Properties>
</file>