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68AB6">
      <w:pPr>
        <w:ind w:firstLine="562" w:firstLineChars="200"/>
        <w:rPr>
          <w:b/>
          <w:bCs/>
        </w:rPr>
      </w:pPr>
      <w:r>
        <w:rPr>
          <w:rFonts w:hint="eastAsia"/>
          <w:b/>
          <w:bCs/>
        </w:rPr>
        <w:t>备案编号：</w:t>
      </w:r>
    </w:p>
    <w:p w14:paraId="390F6829">
      <w:pPr>
        <w:ind w:firstLine="0" w:firstLineChars="0"/>
      </w:pPr>
    </w:p>
    <w:p w14:paraId="767AF5F8">
      <w:pPr>
        <w:ind w:firstLine="0" w:firstLineChars="0"/>
      </w:pPr>
    </w:p>
    <w:p w14:paraId="7A71A226">
      <w:pPr>
        <w:ind w:firstLine="0" w:firstLineChars="0"/>
        <w:jc w:val="center"/>
        <w:rPr>
          <w:b/>
          <w:bCs/>
          <w:sz w:val="48"/>
          <w:szCs w:val="48"/>
        </w:rPr>
      </w:pPr>
      <w:r>
        <w:rPr>
          <w:b/>
          <w:bCs/>
          <w:sz w:val="48"/>
          <w:szCs w:val="48"/>
        </w:rPr>
        <w:t>武陵源区</w:t>
      </w:r>
      <w:r>
        <w:rPr>
          <w:rFonts w:hint="eastAsia" w:ascii="Times New Roman" w:eastAsia="宋体"/>
          <w:b/>
          <w:bCs/>
          <w:sz w:val="48"/>
          <w:szCs w:val="48"/>
          <w:lang w:val="en-US" w:eastAsia="zh-CN"/>
        </w:rPr>
        <w:t>卸甲峪</w:t>
      </w:r>
      <w:r>
        <w:rPr>
          <w:b/>
          <w:bCs/>
          <w:sz w:val="48"/>
          <w:szCs w:val="48"/>
        </w:rPr>
        <w:t>水库饮用水水源地</w:t>
      </w:r>
    </w:p>
    <w:p w14:paraId="242021AE">
      <w:pPr>
        <w:ind w:firstLine="0" w:firstLineChars="0"/>
        <w:jc w:val="center"/>
        <w:rPr>
          <w:b/>
          <w:bCs/>
          <w:sz w:val="48"/>
          <w:szCs w:val="48"/>
        </w:rPr>
      </w:pPr>
      <w:r>
        <w:rPr>
          <w:b/>
          <w:bCs/>
          <w:sz w:val="48"/>
          <w:szCs w:val="48"/>
        </w:rPr>
        <w:t>突发环境事件</w:t>
      </w:r>
    </w:p>
    <w:p w14:paraId="4E5EEA2B">
      <w:pPr>
        <w:wordWrap/>
        <w:ind w:firstLine="0" w:firstLineChars="0"/>
        <w:jc w:val="center"/>
        <w:rPr>
          <w:rFonts w:hint="eastAsia" w:ascii="Times New Roman" w:hAnsi="Times New Roman" w:eastAsia="宋体" w:cs="Times New Roman"/>
          <w:b/>
          <w:bCs/>
          <w:sz w:val="48"/>
          <w:szCs w:val="48"/>
          <w:lang w:eastAsia="zh-CN"/>
        </w:rPr>
      </w:pPr>
      <w:r>
        <w:rPr>
          <w:rFonts w:hint="eastAsia" w:ascii="Times New Roman" w:hAnsi="Times New Roman" w:eastAsia="宋体" w:cs="Times New Roman"/>
          <w:b/>
          <w:bCs/>
          <w:sz w:val="48"/>
          <w:szCs w:val="48"/>
          <w:lang w:eastAsia="zh-CN"/>
        </w:rPr>
        <w:t>（</w:t>
      </w:r>
      <w:r>
        <w:rPr>
          <w:rFonts w:hint="eastAsia" w:cs="Times New Roman"/>
          <w:b/>
          <w:bCs/>
          <w:sz w:val="48"/>
          <w:szCs w:val="48"/>
          <w:lang w:val="en-US" w:eastAsia="zh-CN"/>
        </w:rPr>
        <w:t>2024修订版</w:t>
      </w:r>
      <w:r>
        <w:rPr>
          <w:rFonts w:hint="eastAsia" w:ascii="Times New Roman" w:hAnsi="Times New Roman" w:eastAsia="宋体" w:cs="Times New Roman"/>
          <w:b/>
          <w:bCs/>
          <w:sz w:val="48"/>
          <w:szCs w:val="48"/>
          <w:lang w:eastAsia="zh-CN"/>
        </w:rPr>
        <w:t>）</w:t>
      </w:r>
    </w:p>
    <w:p w14:paraId="6DAE2851">
      <w:pPr>
        <w:ind w:firstLine="0" w:firstLineChars="0"/>
        <w:jc w:val="center"/>
        <w:rPr>
          <w:b/>
          <w:bCs/>
          <w:sz w:val="48"/>
          <w:szCs w:val="48"/>
        </w:rPr>
      </w:pPr>
    </w:p>
    <w:p w14:paraId="7E0B16A8">
      <w:pPr>
        <w:ind w:firstLine="0" w:firstLineChars="0"/>
        <w:jc w:val="center"/>
        <w:rPr>
          <w:b/>
          <w:bCs/>
          <w:sz w:val="48"/>
          <w:szCs w:val="48"/>
        </w:rPr>
      </w:pPr>
    </w:p>
    <w:p w14:paraId="73F1FAA2">
      <w:pPr>
        <w:ind w:firstLine="0" w:firstLineChars="0"/>
        <w:jc w:val="center"/>
        <w:rPr>
          <w:b/>
          <w:bCs/>
          <w:sz w:val="48"/>
          <w:szCs w:val="48"/>
        </w:rPr>
      </w:pPr>
    </w:p>
    <w:p w14:paraId="140543E4">
      <w:pPr>
        <w:ind w:firstLine="0" w:firstLineChars="0"/>
        <w:jc w:val="center"/>
        <w:rPr>
          <w:b/>
          <w:bCs/>
          <w:sz w:val="48"/>
          <w:szCs w:val="48"/>
        </w:rPr>
      </w:pPr>
    </w:p>
    <w:p w14:paraId="2C244FF1">
      <w:pPr>
        <w:ind w:firstLine="0" w:firstLineChars="0"/>
        <w:jc w:val="center"/>
        <w:rPr>
          <w:b/>
          <w:bCs/>
          <w:sz w:val="48"/>
          <w:szCs w:val="48"/>
        </w:rPr>
      </w:pPr>
    </w:p>
    <w:p w14:paraId="3397C87D">
      <w:pPr>
        <w:ind w:firstLine="0" w:firstLineChars="0"/>
        <w:jc w:val="center"/>
        <w:rPr>
          <w:b/>
          <w:bCs/>
          <w:sz w:val="48"/>
          <w:szCs w:val="48"/>
        </w:rPr>
      </w:pPr>
    </w:p>
    <w:p w14:paraId="044857D3">
      <w:pPr>
        <w:ind w:firstLine="0" w:firstLineChars="0"/>
        <w:jc w:val="center"/>
        <w:rPr>
          <w:rFonts w:hint="eastAsia" w:eastAsia="宋体"/>
          <w:b/>
          <w:bCs/>
          <w:sz w:val="72"/>
          <w:szCs w:val="72"/>
          <w:lang w:eastAsia="zh-CN"/>
        </w:rPr>
      </w:pPr>
      <w:r>
        <w:rPr>
          <w:b/>
          <w:bCs/>
          <w:sz w:val="72"/>
          <w:szCs w:val="72"/>
        </w:rPr>
        <w:t>应急预案</w:t>
      </w:r>
    </w:p>
    <w:p w14:paraId="162D52D8">
      <w:pPr>
        <w:ind w:firstLine="0" w:firstLineChars="0"/>
      </w:pPr>
    </w:p>
    <w:p w14:paraId="76A5FC16">
      <w:pPr>
        <w:ind w:firstLine="0" w:firstLineChars="0"/>
        <w:jc w:val="center"/>
      </w:pPr>
    </w:p>
    <w:p w14:paraId="07EE0DAB">
      <w:pPr>
        <w:ind w:firstLine="0" w:firstLineChars="0"/>
        <w:jc w:val="center"/>
        <w:rPr>
          <w:rFonts w:ascii="宋体" w:hAnsi="宋体" w:cs="宋体"/>
          <w:b/>
          <w:bCs/>
          <w:sz w:val="36"/>
          <w:szCs w:val="36"/>
        </w:rPr>
      </w:pPr>
    </w:p>
    <w:p w14:paraId="63B94477">
      <w:pPr>
        <w:ind w:firstLine="0" w:firstLineChars="0"/>
        <w:jc w:val="center"/>
        <w:rPr>
          <w:b/>
          <w:bCs/>
          <w:sz w:val="48"/>
          <w:szCs w:val="48"/>
        </w:rPr>
      </w:pPr>
    </w:p>
    <w:p w14:paraId="627215A3">
      <w:pPr>
        <w:ind w:firstLine="0" w:firstLineChars="0"/>
        <w:jc w:val="center"/>
        <w:rPr>
          <w:b/>
          <w:bCs/>
          <w:sz w:val="48"/>
          <w:szCs w:val="48"/>
        </w:rPr>
      </w:pPr>
    </w:p>
    <w:p w14:paraId="46A68B99">
      <w:pPr>
        <w:ind w:firstLine="0" w:firstLineChars="0"/>
        <w:jc w:val="center"/>
        <w:rPr>
          <w:b/>
          <w:bCs/>
          <w:sz w:val="44"/>
          <w:szCs w:val="44"/>
        </w:rPr>
      </w:pPr>
      <w:r>
        <w:rPr>
          <w:b/>
          <w:bCs/>
          <w:sz w:val="44"/>
          <w:szCs w:val="44"/>
        </w:rPr>
        <w:t>组织单位：武陵源</w:t>
      </w:r>
      <w:r>
        <w:rPr>
          <w:rFonts w:hint="eastAsia"/>
          <w:b/>
          <w:bCs/>
          <w:sz w:val="44"/>
          <w:szCs w:val="44"/>
        </w:rPr>
        <w:t>区</w:t>
      </w:r>
      <w:r>
        <w:rPr>
          <w:b/>
          <w:bCs/>
          <w:sz w:val="44"/>
          <w:szCs w:val="44"/>
        </w:rPr>
        <w:t>人民政府</w:t>
      </w:r>
    </w:p>
    <w:p w14:paraId="4C8B94E9">
      <w:pPr>
        <w:ind w:firstLine="0" w:firstLineChars="0"/>
        <w:jc w:val="center"/>
        <w:rPr>
          <w:rFonts w:hint="eastAsia"/>
          <w:b/>
          <w:bCs/>
          <w:sz w:val="44"/>
          <w:szCs w:val="44"/>
        </w:rPr>
      </w:pPr>
      <w:r>
        <w:rPr>
          <w:rFonts w:hint="eastAsia"/>
          <w:b/>
          <w:bCs/>
          <w:sz w:val="44"/>
          <w:szCs w:val="44"/>
        </w:rPr>
        <w:t>编制单位：湖南蔚为环保科技有限公司</w:t>
      </w:r>
    </w:p>
    <w:p w14:paraId="6C064319">
      <w:pPr>
        <w:ind w:firstLine="0" w:firstLineChars="0"/>
        <w:jc w:val="center"/>
        <w:rPr>
          <w:b/>
          <w:bCs/>
          <w:sz w:val="44"/>
          <w:szCs w:val="44"/>
        </w:rPr>
        <w:sectPr>
          <w:pgSz w:w="11906" w:h="16838"/>
          <w:pgMar w:top="1134" w:right="1531" w:bottom="1361" w:left="1531" w:header="851" w:footer="992" w:gutter="0"/>
          <w:pgBorders>
            <w:top w:val="none" w:sz="0" w:space="0"/>
            <w:left w:val="none" w:sz="0" w:space="0"/>
            <w:bottom w:val="none" w:sz="0" w:space="0"/>
            <w:right w:val="none" w:sz="0" w:space="0"/>
          </w:pgBorders>
          <w:pgNumType w:start="1"/>
          <w:cols w:space="720" w:num="1"/>
          <w:docGrid w:type="lines" w:linePitch="312" w:charSpace="0"/>
        </w:sectPr>
      </w:pPr>
    </w:p>
    <w:sdt>
      <w:sdtPr>
        <w:rPr>
          <w:rFonts w:ascii="宋体" w:hAnsi="宋体" w:eastAsia="宋体" w:cs="Times New Roman"/>
          <w:kern w:val="2"/>
          <w:sz w:val="21"/>
          <w:szCs w:val="28"/>
          <w:lang w:val="en-US" w:eastAsia="zh-CN" w:bidi="ar-SA"/>
        </w:rPr>
        <w:id w:val="147478427"/>
        <w15:color w:val="DBDBDB"/>
        <w:docPartObj>
          <w:docPartGallery w:val="Table of Contents"/>
          <w:docPartUnique/>
        </w:docPartObj>
      </w:sdtPr>
      <w:sdtEndPr>
        <w:rPr>
          <w:rFonts w:ascii="宋体" w:hAnsi="宋体" w:eastAsia="宋体" w:cs="Times New Roman"/>
          <w:kern w:val="2"/>
          <w:sz w:val="21"/>
          <w:szCs w:val="28"/>
          <w:lang w:val="en-US" w:eastAsia="zh-CN" w:bidi="ar-SA"/>
        </w:rPr>
      </w:sdtEndPr>
      <w:sdtContent>
        <w:p w14:paraId="2932C8F0">
          <w:pPr>
            <w:spacing w:before="0" w:beforeLines="0" w:after="0" w:afterLines="0" w:line="240" w:lineRule="auto"/>
            <w:ind w:left="0" w:leftChars="0" w:right="0" w:rightChars="0" w:firstLine="0" w:firstLineChars="0"/>
            <w:jc w:val="center"/>
          </w:pPr>
          <w:bookmarkStart w:id="0" w:name="_Toc21731"/>
          <w:bookmarkStart w:id="1" w:name="_Toc22811"/>
          <w:bookmarkStart w:id="2" w:name="_Toc20742"/>
          <w:bookmarkStart w:id="3" w:name="_Toc15353"/>
          <w:bookmarkStart w:id="4" w:name="_Toc19404"/>
          <w:bookmarkStart w:id="5" w:name="_Toc3863"/>
          <w:r>
            <w:rPr>
              <w:rFonts w:ascii="宋体" w:hAnsi="宋体" w:eastAsia="宋体"/>
              <w:sz w:val="21"/>
            </w:rPr>
            <w:t>目录</w:t>
          </w:r>
        </w:p>
        <w:p w14:paraId="5FA74AC9">
          <w:pPr>
            <w:pStyle w:val="16"/>
            <w:tabs>
              <w:tab w:val="right" w:leader="dot" w:pos="8306"/>
              <w:tab w:val="clear" w:pos="8777"/>
            </w:tabs>
          </w:pPr>
          <w:r>
            <w:fldChar w:fldCharType="begin"/>
          </w:r>
          <w:r>
            <w:instrText xml:space="preserve">TOC \o "1-3" \h \u </w:instrText>
          </w:r>
          <w:r>
            <w:fldChar w:fldCharType="separate"/>
          </w:r>
          <w:r>
            <w:fldChar w:fldCharType="begin"/>
          </w:r>
          <w:r>
            <w:instrText xml:space="preserve"> HYPERLINK \l _Toc15843 </w:instrText>
          </w:r>
          <w:r>
            <w:fldChar w:fldCharType="separate"/>
          </w:r>
          <w:r>
            <w:rPr>
              <w:rFonts w:hint="eastAsia" w:ascii="Cambria" w:hAnsi="Cambria" w:eastAsia="宋体" w:cs="Times New Roman"/>
              <w:bCs/>
              <w:kern w:val="2"/>
              <w:szCs w:val="32"/>
              <w:lang w:val="en-US" w:eastAsia="zh-CN" w:bidi="ar-SA"/>
            </w:rPr>
            <w:t>1</w:t>
          </w:r>
          <w:r>
            <w:rPr>
              <w:rFonts w:ascii="Cambria" w:hAnsi="Cambria" w:eastAsia="宋体" w:cs="Times New Roman"/>
              <w:bCs/>
              <w:kern w:val="2"/>
              <w:szCs w:val="32"/>
              <w:lang w:val="en-US" w:eastAsia="zh-CN" w:bidi="ar-SA"/>
            </w:rPr>
            <w:t>、总则</w:t>
          </w:r>
          <w:r>
            <w:tab/>
          </w:r>
          <w:r>
            <w:fldChar w:fldCharType="begin"/>
          </w:r>
          <w:r>
            <w:instrText xml:space="preserve"> PAGEREF _Toc15843 \h </w:instrText>
          </w:r>
          <w:r>
            <w:fldChar w:fldCharType="separate"/>
          </w:r>
          <w:r>
            <w:t>1</w:t>
          </w:r>
          <w:r>
            <w:fldChar w:fldCharType="end"/>
          </w:r>
          <w:r>
            <w:fldChar w:fldCharType="end"/>
          </w:r>
        </w:p>
        <w:p w14:paraId="054BB37C">
          <w:pPr>
            <w:pStyle w:val="12"/>
            <w:tabs>
              <w:tab w:val="right" w:leader="dot" w:pos="8306"/>
              <w:tab w:val="clear" w:pos="8777"/>
            </w:tabs>
          </w:pPr>
          <w:r>
            <w:fldChar w:fldCharType="begin"/>
          </w:r>
          <w:r>
            <w:instrText xml:space="preserve"> HYPERLINK \l _Toc321 </w:instrText>
          </w:r>
          <w:r>
            <w:fldChar w:fldCharType="separate"/>
          </w:r>
          <w:r>
            <w:rPr>
              <w:rFonts w:ascii="Times New Roman" w:hAnsi="Times New Roman" w:eastAsia="宋体" w:cs="Times New Roman"/>
              <w:bCs/>
              <w:kern w:val="2"/>
              <w:szCs w:val="32"/>
              <w:lang w:val="en-US" w:eastAsia="zh-CN" w:bidi="ar-SA"/>
            </w:rPr>
            <w:t>1.1</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编制目的</w:t>
          </w:r>
          <w:r>
            <w:tab/>
          </w:r>
          <w:r>
            <w:fldChar w:fldCharType="begin"/>
          </w:r>
          <w:r>
            <w:instrText xml:space="preserve"> PAGEREF _Toc321 \h </w:instrText>
          </w:r>
          <w:r>
            <w:fldChar w:fldCharType="separate"/>
          </w:r>
          <w:r>
            <w:t>1</w:t>
          </w:r>
          <w:r>
            <w:fldChar w:fldCharType="end"/>
          </w:r>
          <w:r>
            <w:fldChar w:fldCharType="end"/>
          </w:r>
        </w:p>
        <w:p w14:paraId="1BC76E73">
          <w:pPr>
            <w:pStyle w:val="12"/>
            <w:tabs>
              <w:tab w:val="right" w:leader="dot" w:pos="8306"/>
              <w:tab w:val="clear" w:pos="8777"/>
            </w:tabs>
          </w:pPr>
          <w:r>
            <w:fldChar w:fldCharType="begin"/>
          </w:r>
          <w:r>
            <w:instrText xml:space="preserve"> HYPERLINK \l _Toc3975 </w:instrText>
          </w:r>
          <w:r>
            <w:fldChar w:fldCharType="separate"/>
          </w:r>
          <w:r>
            <w:rPr>
              <w:rFonts w:ascii="Times New Roman" w:hAnsi="Times New Roman" w:eastAsia="宋体" w:cs="Times New Roman"/>
              <w:bCs/>
              <w:kern w:val="2"/>
              <w:szCs w:val="32"/>
              <w:lang w:val="en-US" w:eastAsia="zh-CN" w:bidi="ar-SA"/>
            </w:rPr>
            <w:t>1.2</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编制依据</w:t>
          </w:r>
          <w:r>
            <w:tab/>
          </w:r>
          <w:r>
            <w:fldChar w:fldCharType="begin"/>
          </w:r>
          <w:r>
            <w:instrText xml:space="preserve"> PAGEREF _Toc3975 \h </w:instrText>
          </w:r>
          <w:r>
            <w:fldChar w:fldCharType="separate"/>
          </w:r>
          <w:r>
            <w:t>1</w:t>
          </w:r>
          <w:r>
            <w:fldChar w:fldCharType="end"/>
          </w:r>
          <w:r>
            <w:fldChar w:fldCharType="end"/>
          </w:r>
        </w:p>
        <w:p w14:paraId="2AA3D923">
          <w:pPr>
            <w:pStyle w:val="12"/>
            <w:tabs>
              <w:tab w:val="right" w:leader="dot" w:pos="8306"/>
              <w:tab w:val="clear" w:pos="8777"/>
            </w:tabs>
          </w:pPr>
          <w:r>
            <w:fldChar w:fldCharType="begin"/>
          </w:r>
          <w:r>
            <w:instrText xml:space="preserve"> HYPERLINK \l _Toc12743 </w:instrText>
          </w:r>
          <w:r>
            <w:fldChar w:fldCharType="separate"/>
          </w:r>
          <w:r>
            <w:rPr>
              <w:rFonts w:ascii="Times New Roman" w:hAnsi="Times New Roman" w:eastAsia="宋体" w:cs="Times New Roman"/>
              <w:bCs/>
              <w:kern w:val="2"/>
              <w:szCs w:val="32"/>
              <w:lang w:val="en-US" w:eastAsia="zh-CN" w:bidi="ar-SA"/>
            </w:rPr>
            <w:t>1.3</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适用范围</w:t>
          </w:r>
          <w:r>
            <w:tab/>
          </w:r>
          <w:r>
            <w:fldChar w:fldCharType="begin"/>
          </w:r>
          <w:r>
            <w:instrText xml:space="preserve"> PAGEREF _Toc12743 \h </w:instrText>
          </w:r>
          <w:r>
            <w:fldChar w:fldCharType="separate"/>
          </w:r>
          <w:r>
            <w:t>3</w:t>
          </w:r>
          <w:r>
            <w:fldChar w:fldCharType="end"/>
          </w:r>
          <w:r>
            <w:fldChar w:fldCharType="end"/>
          </w:r>
        </w:p>
        <w:p w14:paraId="3AA3CD9F">
          <w:pPr>
            <w:pStyle w:val="12"/>
            <w:tabs>
              <w:tab w:val="right" w:leader="dot" w:pos="8306"/>
              <w:tab w:val="clear" w:pos="8777"/>
            </w:tabs>
          </w:pPr>
          <w:r>
            <w:fldChar w:fldCharType="begin"/>
          </w:r>
          <w:r>
            <w:instrText xml:space="preserve"> HYPERLINK \l _Toc8516 </w:instrText>
          </w:r>
          <w:r>
            <w:fldChar w:fldCharType="separate"/>
          </w:r>
          <w:r>
            <w:rPr>
              <w:rFonts w:ascii="Times New Roman" w:hAnsi="Times New Roman" w:eastAsia="宋体" w:cs="Times New Roman"/>
              <w:bCs/>
              <w:kern w:val="2"/>
              <w:szCs w:val="32"/>
              <w:lang w:val="en-US" w:eastAsia="zh-CN" w:bidi="ar-SA"/>
            </w:rPr>
            <w:t>1.4</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预案衔接</w:t>
          </w:r>
          <w:r>
            <w:tab/>
          </w:r>
          <w:r>
            <w:fldChar w:fldCharType="begin"/>
          </w:r>
          <w:r>
            <w:instrText xml:space="preserve"> PAGEREF _Toc8516 \h </w:instrText>
          </w:r>
          <w:r>
            <w:fldChar w:fldCharType="separate"/>
          </w:r>
          <w:r>
            <w:t>5</w:t>
          </w:r>
          <w:r>
            <w:fldChar w:fldCharType="end"/>
          </w:r>
          <w:r>
            <w:fldChar w:fldCharType="end"/>
          </w:r>
        </w:p>
        <w:p w14:paraId="6C33670D">
          <w:pPr>
            <w:pStyle w:val="12"/>
            <w:tabs>
              <w:tab w:val="right" w:leader="dot" w:pos="8306"/>
              <w:tab w:val="clear" w:pos="8777"/>
            </w:tabs>
          </w:pPr>
          <w:r>
            <w:fldChar w:fldCharType="begin"/>
          </w:r>
          <w:r>
            <w:instrText xml:space="preserve"> HYPERLINK \l _Toc22465 </w:instrText>
          </w:r>
          <w:r>
            <w:fldChar w:fldCharType="separate"/>
          </w:r>
          <w:r>
            <w:rPr>
              <w:rFonts w:ascii="Times New Roman" w:hAnsi="Times New Roman" w:eastAsia="宋体" w:cs="Times New Roman"/>
              <w:bCs/>
              <w:kern w:val="2"/>
              <w:szCs w:val="32"/>
              <w:lang w:val="en-US" w:eastAsia="zh-CN" w:bidi="ar-SA"/>
            </w:rPr>
            <w:t>1.5</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工作原则</w:t>
          </w:r>
          <w:r>
            <w:tab/>
          </w:r>
          <w:r>
            <w:fldChar w:fldCharType="begin"/>
          </w:r>
          <w:r>
            <w:instrText xml:space="preserve"> PAGEREF _Toc22465 \h </w:instrText>
          </w:r>
          <w:r>
            <w:fldChar w:fldCharType="separate"/>
          </w:r>
          <w:r>
            <w:t>6</w:t>
          </w:r>
          <w:r>
            <w:fldChar w:fldCharType="end"/>
          </w:r>
          <w:r>
            <w:fldChar w:fldCharType="end"/>
          </w:r>
        </w:p>
        <w:p w14:paraId="20B54E4E">
          <w:pPr>
            <w:pStyle w:val="16"/>
            <w:tabs>
              <w:tab w:val="right" w:leader="dot" w:pos="8306"/>
              <w:tab w:val="clear" w:pos="8777"/>
            </w:tabs>
          </w:pPr>
          <w:r>
            <w:fldChar w:fldCharType="begin"/>
          </w:r>
          <w:r>
            <w:instrText xml:space="preserve"> HYPERLINK \l _Toc20057 </w:instrText>
          </w:r>
          <w:r>
            <w:fldChar w:fldCharType="separate"/>
          </w:r>
          <w:r>
            <w:rPr>
              <w:rFonts w:hint="eastAsia" w:ascii="Cambria" w:hAnsi="Cambria" w:eastAsia="宋体" w:cs="Times New Roman"/>
              <w:bCs/>
              <w:kern w:val="2"/>
              <w:szCs w:val="32"/>
              <w:lang w:val="en-US" w:eastAsia="zh-CN" w:bidi="ar-SA"/>
            </w:rPr>
            <w:t>2</w:t>
          </w:r>
          <w:r>
            <w:rPr>
              <w:rFonts w:ascii="Cambria" w:hAnsi="Cambria" w:eastAsia="宋体" w:cs="Times New Roman"/>
              <w:bCs/>
              <w:kern w:val="2"/>
              <w:szCs w:val="32"/>
              <w:lang w:val="en-US" w:eastAsia="zh-CN" w:bidi="ar-SA"/>
            </w:rPr>
            <w:t>、应急组织指挥体系</w:t>
          </w:r>
          <w:r>
            <w:tab/>
          </w:r>
          <w:r>
            <w:fldChar w:fldCharType="begin"/>
          </w:r>
          <w:r>
            <w:instrText xml:space="preserve"> PAGEREF _Toc20057 \h </w:instrText>
          </w:r>
          <w:r>
            <w:fldChar w:fldCharType="separate"/>
          </w:r>
          <w:r>
            <w:t>7</w:t>
          </w:r>
          <w:r>
            <w:fldChar w:fldCharType="end"/>
          </w:r>
          <w:r>
            <w:fldChar w:fldCharType="end"/>
          </w:r>
        </w:p>
        <w:p w14:paraId="46667F82">
          <w:pPr>
            <w:pStyle w:val="12"/>
            <w:tabs>
              <w:tab w:val="right" w:leader="dot" w:pos="8306"/>
              <w:tab w:val="clear" w:pos="8777"/>
            </w:tabs>
          </w:pPr>
          <w:r>
            <w:fldChar w:fldCharType="begin"/>
          </w:r>
          <w:r>
            <w:instrText xml:space="preserve"> HYPERLINK \l _Toc24979 </w:instrText>
          </w:r>
          <w:r>
            <w:fldChar w:fldCharType="separate"/>
          </w:r>
          <w:r>
            <w:rPr>
              <w:rFonts w:ascii="Times New Roman" w:hAnsi="Times New Roman" w:eastAsia="宋体" w:cs="Times New Roman"/>
              <w:bCs/>
              <w:kern w:val="2"/>
              <w:szCs w:val="32"/>
              <w:lang w:val="en-US" w:eastAsia="zh-CN" w:bidi="ar-SA"/>
            </w:rPr>
            <w:t>2.1</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应急组织指挥机构</w:t>
          </w:r>
          <w:r>
            <w:tab/>
          </w:r>
          <w:r>
            <w:fldChar w:fldCharType="begin"/>
          </w:r>
          <w:r>
            <w:instrText xml:space="preserve"> PAGEREF _Toc24979 \h </w:instrText>
          </w:r>
          <w:r>
            <w:fldChar w:fldCharType="separate"/>
          </w:r>
          <w:r>
            <w:t>10</w:t>
          </w:r>
          <w:r>
            <w:fldChar w:fldCharType="end"/>
          </w:r>
          <w:r>
            <w:fldChar w:fldCharType="end"/>
          </w:r>
        </w:p>
        <w:p w14:paraId="53F4CCB4">
          <w:pPr>
            <w:pStyle w:val="12"/>
            <w:tabs>
              <w:tab w:val="right" w:leader="dot" w:pos="8306"/>
              <w:tab w:val="clear" w:pos="8777"/>
            </w:tabs>
          </w:pPr>
          <w:r>
            <w:fldChar w:fldCharType="begin"/>
          </w:r>
          <w:r>
            <w:instrText xml:space="preserve"> HYPERLINK \l _Toc13137 </w:instrText>
          </w:r>
          <w:r>
            <w:fldChar w:fldCharType="separate"/>
          </w:r>
          <w:r>
            <w:rPr>
              <w:rFonts w:ascii="Times New Roman" w:hAnsi="Times New Roman" w:eastAsia="宋体" w:cs="Times New Roman"/>
              <w:bCs/>
              <w:kern w:val="2"/>
              <w:szCs w:val="32"/>
              <w:lang w:val="en-US" w:eastAsia="zh-CN" w:bidi="ar-SA"/>
            </w:rPr>
            <w:t>2.2</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现场应急指挥部</w:t>
          </w:r>
          <w:r>
            <w:tab/>
          </w:r>
          <w:r>
            <w:fldChar w:fldCharType="begin"/>
          </w:r>
          <w:r>
            <w:instrText xml:space="preserve"> PAGEREF _Toc13137 \h </w:instrText>
          </w:r>
          <w:r>
            <w:fldChar w:fldCharType="separate"/>
          </w:r>
          <w:r>
            <w:t>13</w:t>
          </w:r>
          <w:r>
            <w:fldChar w:fldCharType="end"/>
          </w:r>
          <w:r>
            <w:fldChar w:fldCharType="end"/>
          </w:r>
        </w:p>
        <w:p w14:paraId="22775293">
          <w:pPr>
            <w:pStyle w:val="12"/>
            <w:tabs>
              <w:tab w:val="right" w:leader="dot" w:pos="8306"/>
              <w:tab w:val="clear" w:pos="8777"/>
            </w:tabs>
          </w:pPr>
          <w:r>
            <w:fldChar w:fldCharType="begin"/>
          </w:r>
          <w:r>
            <w:instrText xml:space="preserve"> HYPERLINK \l _Toc2693 </w:instrText>
          </w:r>
          <w:r>
            <w:fldChar w:fldCharType="separate"/>
          </w:r>
          <w:r>
            <w:rPr>
              <w:rFonts w:ascii="Times New Roman" w:hAnsi="Times New Roman" w:eastAsia="宋体" w:cs="Times New Roman"/>
              <w:bCs/>
              <w:kern w:val="2"/>
              <w:szCs w:val="32"/>
              <w:lang w:val="en-US" w:eastAsia="zh-CN" w:bidi="ar-SA"/>
            </w:rPr>
            <w:t>2.3</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现场应急工作组</w:t>
          </w:r>
          <w:r>
            <w:tab/>
          </w:r>
          <w:r>
            <w:fldChar w:fldCharType="begin"/>
          </w:r>
          <w:r>
            <w:instrText xml:space="preserve"> PAGEREF _Toc2693 \h </w:instrText>
          </w:r>
          <w:r>
            <w:fldChar w:fldCharType="separate"/>
          </w:r>
          <w:r>
            <w:t>13</w:t>
          </w:r>
          <w:r>
            <w:fldChar w:fldCharType="end"/>
          </w:r>
          <w:r>
            <w:fldChar w:fldCharType="end"/>
          </w:r>
        </w:p>
        <w:p w14:paraId="30130DC7">
          <w:pPr>
            <w:pStyle w:val="12"/>
            <w:tabs>
              <w:tab w:val="right" w:leader="dot" w:pos="8306"/>
              <w:tab w:val="clear" w:pos="8777"/>
            </w:tabs>
          </w:pPr>
          <w:r>
            <w:fldChar w:fldCharType="begin"/>
          </w:r>
          <w:r>
            <w:instrText xml:space="preserve"> HYPERLINK \l _Toc5012 </w:instrText>
          </w:r>
          <w:r>
            <w:fldChar w:fldCharType="separate"/>
          </w:r>
          <w:r>
            <w:rPr>
              <w:rFonts w:ascii="Times New Roman" w:hAnsi="Times New Roman" w:eastAsia="宋体" w:cs="Times New Roman"/>
              <w:bCs/>
              <w:kern w:val="2"/>
              <w:szCs w:val="32"/>
              <w:lang w:val="en-US" w:eastAsia="zh-CN" w:bidi="ar-SA"/>
            </w:rPr>
            <w:t>2.4</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部门协调联动机制</w:t>
          </w:r>
          <w:r>
            <w:tab/>
          </w:r>
          <w:r>
            <w:fldChar w:fldCharType="begin"/>
          </w:r>
          <w:r>
            <w:instrText xml:space="preserve"> PAGEREF _Toc5012 \h </w:instrText>
          </w:r>
          <w:r>
            <w:fldChar w:fldCharType="separate"/>
          </w:r>
          <w:r>
            <w:t>14</w:t>
          </w:r>
          <w:r>
            <w:fldChar w:fldCharType="end"/>
          </w:r>
          <w:r>
            <w:fldChar w:fldCharType="end"/>
          </w:r>
        </w:p>
        <w:p w14:paraId="4A53AE5A">
          <w:pPr>
            <w:pStyle w:val="16"/>
            <w:tabs>
              <w:tab w:val="right" w:leader="dot" w:pos="8306"/>
              <w:tab w:val="clear" w:pos="8777"/>
            </w:tabs>
          </w:pPr>
          <w:r>
            <w:fldChar w:fldCharType="begin"/>
          </w:r>
          <w:r>
            <w:instrText xml:space="preserve"> HYPERLINK \l _Toc12438 </w:instrText>
          </w:r>
          <w:r>
            <w:fldChar w:fldCharType="separate"/>
          </w:r>
          <w:r>
            <w:rPr>
              <w:rFonts w:hint="eastAsia" w:ascii="Cambria" w:hAnsi="Cambria" w:eastAsia="宋体" w:cs="Times New Roman"/>
              <w:bCs/>
              <w:kern w:val="2"/>
              <w:szCs w:val="32"/>
              <w:lang w:val="en-US" w:eastAsia="zh-CN" w:bidi="ar-SA"/>
            </w:rPr>
            <w:t>3</w:t>
          </w:r>
          <w:r>
            <w:rPr>
              <w:rFonts w:ascii="Cambria" w:hAnsi="Cambria" w:eastAsia="宋体" w:cs="Times New Roman"/>
              <w:bCs/>
              <w:kern w:val="2"/>
              <w:szCs w:val="32"/>
              <w:lang w:val="en-US" w:eastAsia="zh-CN" w:bidi="ar-SA"/>
            </w:rPr>
            <w:t>、应急响应</w:t>
          </w:r>
          <w:r>
            <w:tab/>
          </w:r>
          <w:r>
            <w:fldChar w:fldCharType="begin"/>
          </w:r>
          <w:r>
            <w:instrText xml:space="preserve"> PAGEREF _Toc12438 \h </w:instrText>
          </w:r>
          <w:r>
            <w:fldChar w:fldCharType="separate"/>
          </w:r>
          <w:r>
            <w:t>16</w:t>
          </w:r>
          <w:r>
            <w:fldChar w:fldCharType="end"/>
          </w:r>
          <w:r>
            <w:fldChar w:fldCharType="end"/>
          </w:r>
        </w:p>
        <w:p w14:paraId="0CD242B6">
          <w:pPr>
            <w:pStyle w:val="12"/>
            <w:tabs>
              <w:tab w:val="right" w:leader="dot" w:pos="8306"/>
              <w:tab w:val="clear" w:pos="8777"/>
            </w:tabs>
          </w:pPr>
          <w:r>
            <w:fldChar w:fldCharType="begin"/>
          </w:r>
          <w:r>
            <w:instrText xml:space="preserve"> HYPERLINK \l _Toc17525 </w:instrText>
          </w:r>
          <w:r>
            <w:fldChar w:fldCharType="separate"/>
          </w:r>
          <w:r>
            <w:rPr>
              <w:rFonts w:ascii="Times New Roman" w:hAnsi="Times New Roman" w:eastAsia="宋体" w:cs="Times New Roman"/>
              <w:bCs/>
              <w:kern w:val="2"/>
              <w:szCs w:val="32"/>
              <w:lang w:val="en-US" w:eastAsia="zh-CN" w:bidi="ar-SA"/>
            </w:rPr>
            <w:t>3.1</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预警</w:t>
          </w:r>
          <w:r>
            <w:tab/>
          </w:r>
          <w:r>
            <w:fldChar w:fldCharType="begin"/>
          </w:r>
          <w:r>
            <w:instrText xml:space="preserve"> PAGEREF _Toc17525 \h </w:instrText>
          </w:r>
          <w:r>
            <w:fldChar w:fldCharType="separate"/>
          </w:r>
          <w:r>
            <w:t>16</w:t>
          </w:r>
          <w:r>
            <w:fldChar w:fldCharType="end"/>
          </w:r>
          <w:r>
            <w:fldChar w:fldCharType="end"/>
          </w:r>
        </w:p>
        <w:p w14:paraId="3FAB303A">
          <w:pPr>
            <w:pStyle w:val="12"/>
            <w:tabs>
              <w:tab w:val="right" w:leader="dot" w:pos="8306"/>
              <w:tab w:val="clear" w:pos="8777"/>
            </w:tabs>
          </w:pPr>
          <w:r>
            <w:fldChar w:fldCharType="begin"/>
          </w:r>
          <w:r>
            <w:instrText xml:space="preserve"> HYPERLINK \l _Toc19927 </w:instrText>
          </w:r>
          <w:r>
            <w:fldChar w:fldCharType="separate"/>
          </w:r>
          <w:r>
            <w:rPr>
              <w:rFonts w:ascii="Times New Roman" w:hAnsi="Times New Roman" w:eastAsia="宋体" w:cs="Times New Roman"/>
              <w:bCs/>
              <w:kern w:val="2"/>
              <w:szCs w:val="32"/>
              <w:lang w:val="en-US" w:eastAsia="zh-CN" w:bidi="ar-SA"/>
            </w:rPr>
            <w:t>3.2</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信息报告与通报</w:t>
          </w:r>
          <w:r>
            <w:tab/>
          </w:r>
          <w:r>
            <w:fldChar w:fldCharType="begin"/>
          </w:r>
          <w:r>
            <w:instrText xml:space="preserve"> PAGEREF _Toc19927 \h </w:instrText>
          </w:r>
          <w:r>
            <w:fldChar w:fldCharType="separate"/>
          </w:r>
          <w:r>
            <w:t>20</w:t>
          </w:r>
          <w:r>
            <w:fldChar w:fldCharType="end"/>
          </w:r>
          <w:r>
            <w:fldChar w:fldCharType="end"/>
          </w:r>
        </w:p>
        <w:p w14:paraId="1971C2F9">
          <w:pPr>
            <w:pStyle w:val="12"/>
            <w:tabs>
              <w:tab w:val="right" w:leader="dot" w:pos="8306"/>
              <w:tab w:val="clear" w:pos="8777"/>
            </w:tabs>
          </w:pPr>
          <w:r>
            <w:fldChar w:fldCharType="begin"/>
          </w:r>
          <w:r>
            <w:instrText xml:space="preserve"> HYPERLINK \l _Toc4515 </w:instrText>
          </w:r>
          <w:r>
            <w:fldChar w:fldCharType="separate"/>
          </w:r>
          <w:r>
            <w:rPr>
              <w:rFonts w:ascii="Times New Roman" w:hAnsi="Times New Roman" w:eastAsia="宋体" w:cs="Times New Roman"/>
              <w:bCs/>
              <w:kern w:val="2"/>
              <w:szCs w:val="32"/>
              <w:lang w:val="en-US" w:eastAsia="zh-CN" w:bidi="ar-SA"/>
            </w:rPr>
            <w:t>3.3</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事态研判</w:t>
          </w:r>
          <w:r>
            <w:tab/>
          </w:r>
          <w:r>
            <w:fldChar w:fldCharType="begin"/>
          </w:r>
          <w:r>
            <w:instrText xml:space="preserve"> PAGEREF _Toc4515 \h </w:instrText>
          </w:r>
          <w:r>
            <w:fldChar w:fldCharType="separate"/>
          </w:r>
          <w:r>
            <w:t>21</w:t>
          </w:r>
          <w:r>
            <w:fldChar w:fldCharType="end"/>
          </w:r>
          <w:r>
            <w:fldChar w:fldCharType="end"/>
          </w:r>
        </w:p>
        <w:p w14:paraId="14BD791F">
          <w:pPr>
            <w:pStyle w:val="12"/>
            <w:tabs>
              <w:tab w:val="right" w:leader="dot" w:pos="8306"/>
              <w:tab w:val="clear" w:pos="8777"/>
            </w:tabs>
          </w:pPr>
          <w:r>
            <w:fldChar w:fldCharType="begin"/>
          </w:r>
          <w:r>
            <w:instrText xml:space="preserve"> HYPERLINK \l _Toc22934 </w:instrText>
          </w:r>
          <w:r>
            <w:fldChar w:fldCharType="separate"/>
          </w:r>
          <w:r>
            <w:rPr>
              <w:rFonts w:ascii="Times New Roman" w:hAnsi="Times New Roman" w:eastAsia="宋体" w:cs="Times New Roman"/>
              <w:bCs/>
              <w:kern w:val="2"/>
              <w:szCs w:val="32"/>
              <w:lang w:val="en-US" w:eastAsia="zh-CN" w:bidi="ar-SA"/>
            </w:rPr>
            <w:t>3.4</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应急监测</w:t>
          </w:r>
          <w:r>
            <w:tab/>
          </w:r>
          <w:r>
            <w:fldChar w:fldCharType="begin"/>
          </w:r>
          <w:r>
            <w:instrText xml:space="preserve"> PAGEREF _Toc22934 \h </w:instrText>
          </w:r>
          <w:r>
            <w:fldChar w:fldCharType="separate"/>
          </w:r>
          <w:r>
            <w:t>22</w:t>
          </w:r>
          <w:r>
            <w:fldChar w:fldCharType="end"/>
          </w:r>
          <w:r>
            <w:fldChar w:fldCharType="end"/>
          </w:r>
        </w:p>
        <w:p w14:paraId="31C01557">
          <w:pPr>
            <w:pStyle w:val="12"/>
            <w:tabs>
              <w:tab w:val="right" w:leader="dot" w:pos="8306"/>
              <w:tab w:val="clear" w:pos="8777"/>
            </w:tabs>
          </w:pPr>
          <w:r>
            <w:fldChar w:fldCharType="begin"/>
          </w:r>
          <w:r>
            <w:instrText xml:space="preserve"> HYPERLINK \l _Toc28199 </w:instrText>
          </w:r>
          <w:r>
            <w:fldChar w:fldCharType="separate"/>
          </w:r>
          <w:r>
            <w:rPr>
              <w:rFonts w:ascii="Times New Roman" w:hAnsi="Times New Roman" w:eastAsia="宋体" w:cs="Times New Roman"/>
              <w:bCs/>
              <w:kern w:val="2"/>
              <w:szCs w:val="32"/>
              <w:lang w:val="en-US" w:eastAsia="zh-CN" w:bidi="ar-SA"/>
            </w:rPr>
            <w:t>3.5</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应急处置</w:t>
          </w:r>
          <w:r>
            <w:tab/>
          </w:r>
          <w:r>
            <w:fldChar w:fldCharType="begin"/>
          </w:r>
          <w:r>
            <w:instrText xml:space="preserve"> PAGEREF _Toc28199 \h </w:instrText>
          </w:r>
          <w:r>
            <w:fldChar w:fldCharType="separate"/>
          </w:r>
          <w:r>
            <w:t>24</w:t>
          </w:r>
          <w:r>
            <w:fldChar w:fldCharType="end"/>
          </w:r>
          <w:r>
            <w:fldChar w:fldCharType="end"/>
          </w:r>
        </w:p>
        <w:p w14:paraId="487D0CA8">
          <w:pPr>
            <w:pStyle w:val="12"/>
            <w:tabs>
              <w:tab w:val="right" w:leader="dot" w:pos="8306"/>
              <w:tab w:val="clear" w:pos="8777"/>
            </w:tabs>
          </w:pPr>
          <w:r>
            <w:fldChar w:fldCharType="begin"/>
          </w:r>
          <w:r>
            <w:instrText xml:space="preserve"> HYPERLINK \l _Toc14306 </w:instrText>
          </w:r>
          <w:r>
            <w:fldChar w:fldCharType="separate"/>
          </w:r>
          <w:r>
            <w:rPr>
              <w:rFonts w:ascii="Times New Roman" w:hAnsi="Times New Roman" w:eastAsia="宋体" w:cs="Times New Roman"/>
              <w:bCs/>
              <w:kern w:val="2"/>
              <w:szCs w:val="32"/>
              <w:lang w:val="en-US" w:eastAsia="zh-CN" w:bidi="ar-SA"/>
            </w:rPr>
            <w:t>3.7</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物资调集及应急设施启用</w:t>
          </w:r>
          <w:r>
            <w:tab/>
          </w:r>
          <w:r>
            <w:fldChar w:fldCharType="begin"/>
          </w:r>
          <w:r>
            <w:instrText xml:space="preserve"> PAGEREF _Toc14306 \h </w:instrText>
          </w:r>
          <w:r>
            <w:fldChar w:fldCharType="separate"/>
          </w:r>
          <w:r>
            <w:t>38</w:t>
          </w:r>
          <w:r>
            <w:fldChar w:fldCharType="end"/>
          </w:r>
          <w:r>
            <w:fldChar w:fldCharType="end"/>
          </w:r>
        </w:p>
        <w:p w14:paraId="22A1D9F8">
          <w:pPr>
            <w:pStyle w:val="12"/>
            <w:tabs>
              <w:tab w:val="right" w:leader="dot" w:pos="8306"/>
              <w:tab w:val="clear" w:pos="8777"/>
            </w:tabs>
          </w:pPr>
          <w:r>
            <w:fldChar w:fldCharType="begin"/>
          </w:r>
          <w:r>
            <w:instrText xml:space="preserve"> HYPERLINK \l _Toc7770 </w:instrText>
          </w:r>
          <w:r>
            <w:fldChar w:fldCharType="separate"/>
          </w:r>
          <w:r>
            <w:rPr>
              <w:rFonts w:ascii="Times New Roman" w:hAnsi="Times New Roman" w:eastAsia="宋体" w:cs="Times New Roman"/>
              <w:bCs/>
              <w:kern w:val="2"/>
              <w:szCs w:val="32"/>
              <w:lang w:val="en-US" w:eastAsia="zh-CN" w:bidi="ar-SA"/>
            </w:rPr>
            <w:t>3.8</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舆情监测与信息发布</w:t>
          </w:r>
          <w:r>
            <w:tab/>
          </w:r>
          <w:r>
            <w:fldChar w:fldCharType="begin"/>
          </w:r>
          <w:r>
            <w:instrText xml:space="preserve"> PAGEREF _Toc7770 \h </w:instrText>
          </w:r>
          <w:r>
            <w:fldChar w:fldCharType="separate"/>
          </w:r>
          <w:r>
            <w:t>38</w:t>
          </w:r>
          <w:r>
            <w:fldChar w:fldCharType="end"/>
          </w:r>
          <w:r>
            <w:fldChar w:fldCharType="end"/>
          </w:r>
        </w:p>
        <w:p w14:paraId="0E1A4FB8">
          <w:pPr>
            <w:pStyle w:val="12"/>
            <w:tabs>
              <w:tab w:val="right" w:leader="dot" w:pos="8306"/>
              <w:tab w:val="clear" w:pos="8777"/>
            </w:tabs>
          </w:pPr>
          <w:r>
            <w:fldChar w:fldCharType="begin"/>
          </w:r>
          <w:r>
            <w:instrText xml:space="preserve"> HYPERLINK \l _Toc21037 </w:instrText>
          </w:r>
          <w:r>
            <w:fldChar w:fldCharType="separate"/>
          </w:r>
          <w:r>
            <w:rPr>
              <w:rFonts w:ascii="Times New Roman" w:hAnsi="Times New Roman" w:eastAsia="宋体" w:cs="Times New Roman"/>
              <w:bCs/>
              <w:kern w:val="2"/>
              <w:szCs w:val="32"/>
              <w:lang w:val="en-US" w:eastAsia="zh-CN" w:bidi="ar-SA"/>
            </w:rPr>
            <w:t>3.9</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响应终止</w:t>
          </w:r>
          <w:r>
            <w:tab/>
          </w:r>
          <w:r>
            <w:fldChar w:fldCharType="begin"/>
          </w:r>
          <w:r>
            <w:instrText xml:space="preserve"> PAGEREF _Toc21037 \h </w:instrText>
          </w:r>
          <w:r>
            <w:fldChar w:fldCharType="separate"/>
          </w:r>
          <w:r>
            <w:t>38</w:t>
          </w:r>
          <w:r>
            <w:fldChar w:fldCharType="end"/>
          </w:r>
          <w:r>
            <w:fldChar w:fldCharType="end"/>
          </w:r>
        </w:p>
        <w:p w14:paraId="0A1FB3D7">
          <w:pPr>
            <w:pStyle w:val="16"/>
            <w:tabs>
              <w:tab w:val="right" w:leader="dot" w:pos="8306"/>
              <w:tab w:val="clear" w:pos="8777"/>
            </w:tabs>
          </w:pPr>
          <w:r>
            <w:fldChar w:fldCharType="begin"/>
          </w:r>
          <w:r>
            <w:instrText xml:space="preserve"> HYPERLINK \l _Toc10864 </w:instrText>
          </w:r>
          <w:r>
            <w:fldChar w:fldCharType="separate"/>
          </w:r>
          <w:r>
            <w:rPr>
              <w:rFonts w:hint="eastAsia" w:ascii="Cambria" w:hAnsi="Cambria" w:eastAsia="宋体" w:cs="Times New Roman"/>
              <w:bCs/>
              <w:kern w:val="2"/>
              <w:szCs w:val="32"/>
              <w:lang w:val="en-US" w:eastAsia="zh-CN" w:bidi="ar-SA"/>
            </w:rPr>
            <w:t>4</w:t>
          </w:r>
          <w:r>
            <w:rPr>
              <w:rFonts w:ascii="Cambria" w:hAnsi="Cambria" w:eastAsia="宋体" w:cs="Times New Roman"/>
              <w:bCs/>
              <w:kern w:val="2"/>
              <w:szCs w:val="32"/>
              <w:lang w:val="en-US" w:eastAsia="zh-CN" w:bidi="ar-SA"/>
            </w:rPr>
            <w:t>、后期工作</w:t>
          </w:r>
          <w:r>
            <w:tab/>
          </w:r>
          <w:r>
            <w:fldChar w:fldCharType="begin"/>
          </w:r>
          <w:r>
            <w:instrText xml:space="preserve"> PAGEREF _Toc10864 \h </w:instrText>
          </w:r>
          <w:r>
            <w:fldChar w:fldCharType="separate"/>
          </w:r>
          <w:r>
            <w:t>39</w:t>
          </w:r>
          <w:r>
            <w:fldChar w:fldCharType="end"/>
          </w:r>
          <w:r>
            <w:fldChar w:fldCharType="end"/>
          </w:r>
        </w:p>
        <w:p w14:paraId="6BD53435">
          <w:pPr>
            <w:pStyle w:val="12"/>
            <w:tabs>
              <w:tab w:val="right" w:leader="dot" w:pos="8306"/>
              <w:tab w:val="clear" w:pos="8777"/>
            </w:tabs>
          </w:pPr>
          <w:r>
            <w:fldChar w:fldCharType="begin"/>
          </w:r>
          <w:r>
            <w:instrText xml:space="preserve"> HYPERLINK \l _Toc2593 </w:instrText>
          </w:r>
          <w:r>
            <w:fldChar w:fldCharType="separate"/>
          </w:r>
          <w:r>
            <w:rPr>
              <w:rFonts w:ascii="Times New Roman" w:hAnsi="Times New Roman" w:eastAsia="宋体" w:cs="Times New Roman"/>
              <w:bCs/>
              <w:kern w:val="2"/>
              <w:szCs w:val="32"/>
              <w:lang w:val="en-US" w:eastAsia="zh-CN" w:bidi="ar-SA"/>
            </w:rPr>
            <w:t>4.1</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后期防控</w:t>
          </w:r>
          <w:r>
            <w:tab/>
          </w:r>
          <w:r>
            <w:fldChar w:fldCharType="begin"/>
          </w:r>
          <w:r>
            <w:instrText xml:space="preserve"> PAGEREF _Toc2593 \h </w:instrText>
          </w:r>
          <w:r>
            <w:fldChar w:fldCharType="separate"/>
          </w:r>
          <w:r>
            <w:t>39</w:t>
          </w:r>
          <w:r>
            <w:fldChar w:fldCharType="end"/>
          </w:r>
          <w:r>
            <w:fldChar w:fldCharType="end"/>
          </w:r>
        </w:p>
        <w:p w14:paraId="3585A470">
          <w:pPr>
            <w:pStyle w:val="12"/>
            <w:tabs>
              <w:tab w:val="right" w:leader="dot" w:pos="8306"/>
              <w:tab w:val="clear" w:pos="8777"/>
            </w:tabs>
          </w:pPr>
          <w:r>
            <w:fldChar w:fldCharType="begin"/>
          </w:r>
          <w:r>
            <w:instrText xml:space="preserve"> HYPERLINK \l _Toc9876 </w:instrText>
          </w:r>
          <w:r>
            <w:fldChar w:fldCharType="separate"/>
          </w:r>
          <w:r>
            <w:rPr>
              <w:rFonts w:ascii="Times New Roman" w:hAnsi="Times New Roman" w:eastAsia="宋体" w:cs="Times New Roman"/>
              <w:bCs/>
              <w:kern w:val="2"/>
              <w:szCs w:val="32"/>
              <w:lang w:val="en-US" w:eastAsia="zh-CN" w:bidi="ar-SA"/>
            </w:rPr>
            <w:t>4.2</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事件调查</w:t>
          </w:r>
          <w:r>
            <w:tab/>
          </w:r>
          <w:r>
            <w:fldChar w:fldCharType="begin"/>
          </w:r>
          <w:r>
            <w:instrText xml:space="preserve"> PAGEREF _Toc9876 \h </w:instrText>
          </w:r>
          <w:r>
            <w:fldChar w:fldCharType="separate"/>
          </w:r>
          <w:r>
            <w:t>40</w:t>
          </w:r>
          <w:r>
            <w:fldChar w:fldCharType="end"/>
          </w:r>
          <w:r>
            <w:fldChar w:fldCharType="end"/>
          </w:r>
        </w:p>
        <w:p w14:paraId="5F2D39E5">
          <w:pPr>
            <w:pStyle w:val="12"/>
            <w:tabs>
              <w:tab w:val="right" w:leader="dot" w:pos="8306"/>
              <w:tab w:val="clear" w:pos="8777"/>
            </w:tabs>
          </w:pPr>
          <w:r>
            <w:fldChar w:fldCharType="begin"/>
          </w:r>
          <w:r>
            <w:instrText xml:space="preserve"> HYPERLINK \l _Toc32728 </w:instrText>
          </w:r>
          <w:r>
            <w:fldChar w:fldCharType="separate"/>
          </w:r>
          <w:r>
            <w:rPr>
              <w:rFonts w:ascii="Times New Roman" w:hAnsi="Times New Roman" w:eastAsia="宋体" w:cs="Times New Roman"/>
              <w:bCs/>
              <w:kern w:val="2"/>
              <w:szCs w:val="32"/>
              <w:lang w:val="en-US" w:eastAsia="zh-CN" w:bidi="ar-SA"/>
            </w:rPr>
            <w:t>4.3</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损害评估</w:t>
          </w:r>
          <w:r>
            <w:tab/>
          </w:r>
          <w:r>
            <w:fldChar w:fldCharType="begin"/>
          </w:r>
          <w:r>
            <w:instrText xml:space="preserve"> PAGEREF _Toc32728 \h </w:instrText>
          </w:r>
          <w:r>
            <w:fldChar w:fldCharType="separate"/>
          </w:r>
          <w:r>
            <w:t>40</w:t>
          </w:r>
          <w:r>
            <w:fldChar w:fldCharType="end"/>
          </w:r>
          <w:r>
            <w:fldChar w:fldCharType="end"/>
          </w:r>
        </w:p>
        <w:p w14:paraId="422D1420">
          <w:pPr>
            <w:pStyle w:val="12"/>
            <w:tabs>
              <w:tab w:val="right" w:leader="dot" w:pos="8306"/>
              <w:tab w:val="clear" w:pos="8777"/>
            </w:tabs>
          </w:pPr>
          <w:r>
            <w:fldChar w:fldCharType="begin"/>
          </w:r>
          <w:r>
            <w:instrText xml:space="preserve"> HYPERLINK \l _Toc1191 </w:instrText>
          </w:r>
          <w:r>
            <w:fldChar w:fldCharType="separate"/>
          </w:r>
          <w:r>
            <w:rPr>
              <w:rFonts w:ascii="Times New Roman" w:hAnsi="Times New Roman" w:eastAsia="宋体" w:cs="Times New Roman"/>
              <w:bCs/>
              <w:kern w:val="2"/>
              <w:szCs w:val="32"/>
              <w:lang w:val="en-US" w:eastAsia="zh-CN" w:bidi="ar-SA"/>
            </w:rPr>
            <w:t>4.4</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善后处置</w:t>
          </w:r>
          <w:r>
            <w:tab/>
          </w:r>
          <w:r>
            <w:fldChar w:fldCharType="begin"/>
          </w:r>
          <w:r>
            <w:instrText xml:space="preserve"> PAGEREF _Toc1191 \h </w:instrText>
          </w:r>
          <w:r>
            <w:fldChar w:fldCharType="separate"/>
          </w:r>
          <w:r>
            <w:t>40</w:t>
          </w:r>
          <w:r>
            <w:fldChar w:fldCharType="end"/>
          </w:r>
          <w:r>
            <w:fldChar w:fldCharType="end"/>
          </w:r>
        </w:p>
        <w:p w14:paraId="7556C59A">
          <w:pPr>
            <w:pStyle w:val="16"/>
            <w:tabs>
              <w:tab w:val="right" w:leader="dot" w:pos="8306"/>
              <w:tab w:val="clear" w:pos="8777"/>
            </w:tabs>
          </w:pPr>
          <w:r>
            <w:fldChar w:fldCharType="begin"/>
          </w:r>
          <w:r>
            <w:instrText xml:space="preserve"> HYPERLINK \l _Toc12055 </w:instrText>
          </w:r>
          <w:r>
            <w:fldChar w:fldCharType="separate"/>
          </w:r>
          <w:r>
            <w:rPr>
              <w:rFonts w:hint="eastAsia" w:ascii="Cambria" w:hAnsi="Cambria" w:eastAsia="宋体" w:cs="Times New Roman"/>
              <w:bCs/>
              <w:kern w:val="2"/>
              <w:szCs w:val="32"/>
              <w:lang w:val="en-US" w:eastAsia="zh-CN" w:bidi="ar-SA"/>
            </w:rPr>
            <w:t>5</w:t>
          </w:r>
          <w:r>
            <w:rPr>
              <w:rFonts w:ascii="Cambria" w:hAnsi="Cambria" w:eastAsia="宋体" w:cs="Times New Roman"/>
              <w:bCs/>
              <w:kern w:val="2"/>
              <w:szCs w:val="32"/>
              <w:lang w:val="en-US" w:eastAsia="zh-CN" w:bidi="ar-SA"/>
            </w:rPr>
            <w:t>、应急保障</w:t>
          </w:r>
          <w:r>
            <w:tab/>
          </w:r>
          <w:r>
            <w:fldChar w:fldCharType="begin"/>
          </w:r>
          <w:r>
            <w:instrText xml:space="preserve"> PAGEREF _Toc12055 \h </w:instrText>
          </w:r>
          <w:r>
            <w:fldChar w:fldCharType="separate"/>
          </w:r>
          <w:r>
            <w:t>41</w:t>
          </w:r>
          <w:r>
            <w:fldChar w:fldCharType="end"/>
          </w:r>
          <w:r>
            <w:fldChar w:fldCharType="end"/>
          </w:r>
        </w:p>
        <w:p w14:paraId="7A806CD7">
          <w:pPr>
            <w:pStyle w:val="12"/>
            <w:tabs>
              <w:tab w:val="right" w:leader="dot" w:pos="8306"/>
              <w:tab w:val="clear" w:pos="8777"/>
            </w:tabs>
          </w:pPr>
          <w:r>
            <w:fldChar w:fldCharType="begin"/>
          </w:r>
          <w:r>
            <w:instrText xml:space="preserve"> HYPERLINK \l _Toc1306 </w:instrText>
          </w:r>
          <w:r>
            <w:fldChar w:fldCharType="separate"/>
          </w:r>
          <w:r>
            <w:rPr>
              <w:rFonts w:ascii="Times New Roman" w:hAnsi="Times New Roman" w:eastAsia="宋体" w:cs="Times New Roman"/>
              <w:bCs/>
              <w:kern w:val="2"/>
              <w:szCs w:val="32"/>
              <w:lang w:val="en-US" w:eastAsia="zh-CN" w:bidi="ar-SA"/>
            </w:rPr>
            <w:t>5.1</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通讯与信息保障</w:t>
          </w:r>
          <w:r>
            <w:tab/>
          </w:r>
          <w:r>
            <w:fldChar w:fldCharType="begin"/>
          </w:r>
          <w:r>
            <w:instrText xml:space="preserve"> PAGEREF _Toc1306 \h </w:instrText>
          </w:r>
          <w:r>
            <w:fldChar w:fldCharType="separate"/>
          </w:r>
          <w:r>
            <w:t>41</w:t>
          </w:r>
          <w:r>
            <w:fldChar w:fldCharType="end"/>
          </w:r>
          <w:r>
            <w:fldChar w:fldCharType="end"/>
          </w:r>
        </w:p>
        <w:p w14:paraId="6A9A3C01">
          <w:pPr>
            <w:pStyle w:val="12"/>
            <w:tabs>
              <w:tab w:val="right" w:leader="dot" w:pos="8306"/>
              <w:tab w:val="clear" w:pos="8777"/>
            </w:tabs>
          </w:pPr>
          <w:r>
            <w:fldChar w:fldCharType="begin"/>
          </w:r>
          <w:r>
            <w:instrText xml:space="preserve"> HYPERLINK \l _Toc17226 </w:instrText>
          </w:r>
          <w:r>
            <w:fldChar w:fldCharType="separate"/>
          </w:r>
          <w:r>
            <w:rPr>
              <w:rFonts w:ascii="Times New Roman" w:hAnsi="Times New Roman" w:eastAsia="宋体" w:cs="Times New Roman"/>
              <w:bCs/>
              <w:kern w:val="2"/>
              <w:szCs w:val="32"/>
              <w:lang w:val="en-US" w:eastAsia="zh-CN" w:bidi="ar-SA"/>
            </w:rPr>
            <w:t>5.2</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应急队伍保障</w:t>
          </w:r>
          <w:r>
            <w:tab/>
          </w:r>
          <w:r>
            <w:fldChar w:fldCharType="begin"/>
          </w:r>
          <w:r>
            <w:instrText xml:space="preserve"> PAGEREF _Toc17226 \h </w:instrText>
          </w:r>
          <w:r>
            <w:fldChar w:fldCharType="separate"/>
          </w:r>
          <w:r>
            <w:t>41</w:t>
          </w:r>
          <w:r>
            <w:fldChar w:fldCharType="end"/>
          </w:r>
          <w:r>
            <w:fldChar w:fldCharType="end"/>
          </w:r>
        </w:p>
        <w:p w14:paraId="7308AFCA">
          <w:pPr>
            <w:pStyle w:val="12"/>
            <w:tabs>
              <w:tab w:val="right" w:leader="dot" w:pos="8306"/>
              <w:tab w:val="clear" w:pos="8777"/>
            </w:tabs>
          </w:pPr>
          <w:r>
            <w:fldChar w:fldCharType="begin"/>
          </w:r>
          <w:r>
            <w:instrText xml:space="preserve"> HYPERLINK \l _Toc18304 </w:instrText>
          </w:r>
          <w:r>
            <w:fldChar w:fldCharType="separate"/>
          </w:r>
          <w:r>
            <w:rPr>
              <w:rFonts w:ascii="Times New Roman" w:hAnsi="Times New Roman" w:eastAsia="宋体" w:cs="Times New Roman"/>
              <w:bCs/>
              <w:kern w:val="2"/>
              <w:szCs w:val="32"/>
              <w:lang w:val="en-US" w:eastAsia="zh-CN" w:bidi="ar-SA"/>
            </w:rPr>
            <w:t>5.3</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应急资源保障</w:t>
          </w:r>
          <w:r>
            <w:tab/>
          </w:r>
          <w:r>
            <w:fldChar w:fldCharType="begin"/>
          </w:r>
          <w:r>
            <w:instrText xml:space="preserve"> PAGEREF _Toc18304 \h </w:instrText>
          </w:r>
          <w:r>
            <w:fldChar w:fldCharType="separate"/>
          </w:r>
          <w:r>
            <w:t>41</w:t>
          </w:r>
          <w:r>
            <w:fldChar w:fldCharType="end"/>
          </w:r>
          <w:r>
            <w:fldChar w:fldCharType="end"/>
          </w:r>
        </w:p>
        <w:p w14:paraId="0CF89B0F">
          <w:pPr>
            <w:pStyle w:val="12"/>
            <w:tabs>
              <w:tab w:val="right" w:leader="dot" w:pos="8306"/>
              <w:tab w:val="clear" w:pos="8777"/>
            </w:tabs>
          </w:pPr>
          <w:r>
            <w:fldChar w:fldCharType="begin"/>
          </w:r>
          <w:r>
            <w:instrText xml:space="preserve"> HYPERLINK \l _Toc16449 </w:instrText>
          </w:r>
          <w:r>
            <w:fldChar w:fldCharType="separate"/>
          </w:r>
          <w:r>
            <w:rPr>
              <w:rFonts w:ascii="Times New Roman" w:hAnsi="Times New Roman" w:eastAsia="宋体" w:cs="Times New Roman"/>
              <w:bCs/>
              <w:kern w:val="2"/>
              <w:szCs w:val="32"/>
              <w:lang w:val="en-US" w:eastAsia="zh-CN" w:bidi="ar-SA"/>
            </w:rPr>
            <w:t>5.4</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经费保障</w:t>
          </w:r>
          <w:r>
            <w:tab/>
          </w:r>
          <w:r>
            <w:fldChar w:fldCharType="begin"/>
          </w:r>
          <w:r>
            <w:instrText xml:space="preserve"> PAGEREF _Toc16449 \h </w:instrText>
          </w:r>
          <w:r>
            <w:fldChar w:fldCharType="separate"/>
          </w:r>
          <w:r>
            <w:t>42</w:t>
          </w:r>
          <w:r>
            <w:fldChar w:fldCharType="end"/>
          </w:r>
          <w:r>
            <w:fldChar w:fldCharType="end"/>
          </w:r>
        </w:p>
        <w:p w14:paraId="40149939">
          <w:pPr>
            <w:pStyle w:val="16"/>
            <w:tabs>
              <w:tab w:val="right" w:leader="dot" w:pos="8306"/>
              <w:tab w:val="clear" w:pos="8777"/>
            </w:tabs>
          </w:pPr>
          <w:r>
            <w:fldChar w:fldCharType="begin"/>
          </w:r>
          <w:r>
            <w:instrText xml:space="preserve"> HYPERLINK \l _Toc16583 </w:instrText>
          </w:r>
          <w:r>
            <w:fldChar w:fldCharType="separate"/>
          </w:r>
          <w:r>
            <w:rPr>
              <w:rFonts w:hint="eastAsia" w:ascii="Cambria" w:hAnsi="Cambria" w:eastAsia="宋体" w:cs="Times New Roman"/>
              <w:bCs/>
              <w:kern w:val="2"/>
              <w:szCs w:val="32"/>
              <w:lang w:val="en-US" w:eastAsia="zh-CN" w:bidi="ar-SA"/>
            </w:rPr>
            <w:t>6</w:t>
          </w:r>
          <w:r>
            <w:rPr>
              <w:rFonts w:ascii="Cambria" w:hAnsi="Cambria" w:eastAsia="宋体" w:cs="Times New Roman"/>
              <w:bCs/>
              <w:kern w:val="2"/>
              <w:szCs w:val="32"/>
              <w:lang w:val="en-US" w:eastAsia="zh-CN" w:bidi="ar-SA"/>
            </w:rPr>
            <w:t>、预案演练</w:t>
          </w:r>
          <w:r>
            <w:tab/>
          </w:r>
          <w:r>
            <w:fldChar w:fldCharType="begin"/>
          </w:r>
          <w:r>
            <w:instrText xml:space="preserve"> PAGEREF _Toc16583 \h </w:instrText>
          </w:r>
          <w:r>
            <w:fldChar w:fldCharType="separate"/>
          </w:r>
          <w:r>
            <w:t>42</w:t>
          </w:r>
          <w:r>
            <w:fldChar w:fldCharType="end"/>
          </w:r>
          <w:r>
            <w:fldChar w:fldCharType="end"/>
          </w:r>
        </w:p>
        <w:p w14:paraId="659BE602">
          <w:pPr>
            <w:pStyle w:val="12"/>
            <w:tabs>
              <w:tab w:val="right" w:leader="dot" w:pos="8306"/>
              <w:tab w:val="clear" w:pos="8777"/>
            </w:tabs>
          </w:pPr>
          <w:r>
            <w:fldChar w:fldCharType="begin"/>
          </w:r>
          <w:r>
            <w:instrText xml:space="preserve"> HYPERLINK \l _Toc19974 </w:instrText>
          </w:r>
          <w:r>
            <w:fldChar w:fldCharType="separate"/>
          </w:r>
          <w:r>
            <w:rPr>
              <w:rFonts w:ascii="Times New Roman" w:hAnsi="Times New Roman" w:eastAsia="宋体" w:cs="Times New Roman"/>
              <w:bCs/>
              <w:kern w:val="2"/>
              <w:szCs w:val="32"/>
              <w:lang w:val="en-US" w:eastAsia="zh-CN" w:bidi="ar-SA"/>
            </w:rPr>
            <w:t>6.1</w:t>
          </w:r>
          <w:r>
            <w:rPr>
              <w:rFonts w:hint="eastAsia" w:ascii="Times New Roman" w:hAnsi="Times New Roman" w:eastAsia="宋体" w:cs="Times New Roman"/>
              <w:bCs/>
              <w:kern w:val="2"/>
              <w:szCs w:val="32"/>
              <w:lang w:val="en-US" w:eastAsia="zh-CN" w:bidi="ar-SA"/>
            </w:rPr>
            <w:t xml:space="preserve"> 应急演练的宣传和学习</w:t>
          </w:r>
          <w:r>
            <w:tab/>
          </w:r>
          <w:r>
            <w:fldChar w:fldCharType="begin"/>
          </w:r>
          <w:r>
            <w:instrText xml:space="preserve"> PAGEREF _Toc19974 \h </w:instrText>
          </w:r>
          <w:r>
            <w:fldChar w:fldCharType="separate"/>
          </w:r>
          <w:r>
            <w:t>42</w:t>
          </w:r>
          <w:r>
            <w:fldChar w:fldCharType="end"/>
          </w:r>
          <w:r>
            <w:fldChar w:fldCharType="end"/>
          </w:r>
        </w:p>
        <w:p w14:paraId="42BCE258">
          <w:pPr>
            <w:pStyle w:val="12"/>
            <w:tabs>
              <w:tab w:val="right" w:leader="dot" w:pos="8306"/>
              <w:tab w:val="clear" w:pos="8777"/>
            </w:tabs>
          </w:pPr>
          <w:r>
            <w:fldChar w:fldCharType="begin"/>
          </w:r>
          <w:r>
            <w:instrText xml:space="preserve"> HYPERLINK \l _Toc19525 </w:instrText>
          </w:r>
          <w:r>
            <w:fldChar w:fldCharType="separate"/>
          </w:r>
          <w:r>
            <w:rPr>
              <w:rFonts w:hint="eastAsia" w:ascii="Times New Roman" w:hAnsi="Times New Roman" w:eastAsia="宋体" w:cs="Times New Roman"/>
              <w:bCs/>
              <w:kern w:val="2"/>
              <w:szCs w:val="32"/>
              <w:lang w:val="en-US" w:eastAsia="zh-CN" w:bidi="ar-SA"/>
            </w:rPr>
            <w:t xml:space="preserve">6.2 </w:t>
          </w:r>
          <w:r>
            <w:rPr>
              <w:rFonts w:ascii="Times New Roman" w:hAnsi="Times New Roman" w:eastAsia="宋体" w:cs="Times New Roman"/>
              <w:bCs/>
              <w:kern w:val="2"/>
              <w:szCs w:val="32"/>
              <w:lang w:val="en-US" w:eastAsia="zh-CN" w:bidi="ar-SA"/>
            </w:rPr>
            <w:t>应急演练的组织</w:t>
          </w:r>
          <w:r>
            <w:tab/>
          </w:r>
          <w:r>
            <w:fldChar w:fldCharType="begin"/>
          </w:r>
          <w:r>
            <w:instrText xml:space="preserve"> PAGEREF _Toc19525 \h </w:instrText>
          </w:r>
          <w:r>
            <w:fldChar w:fldCharType="separate"/>
          </w:r>
          <w:r>
            <w:t>43</w:t>
          </w:r>
          <w:r>
            <w:fldChar w:fldCharType="end"/>
          </w:r>
          <w:r>
            <w:fldChar w:fldCharType="end"/>
          </w:r>
        </w:p>
        <w:p w14:paraId="351C7C3D">
          <w:pPr>
            <w:pStyle w:val="12"/>
            <w:tabs>
              <w:tab w:val="right" w:leader="dot" w:pos="8306"/>
              <w:tab w:val="clear" w:pos="8777"/>
            </w:tabs>
          </w:pPr>
          <w:r>
            <w:fldChar w:fldCharType="begin"/>
          </w:r>
          <w:r>
            <w:instrText xml:space="preserve"> HYPERLINK \l _Toc10313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 xml:space="preserve">3 </w:t>
          </w:r>
          <w:r>
            <w:rPr>
              <w:rFonts w:ascii="Times New Roman" w:hAnsi="Times New Roman" w:eastAsia="宋体" w:cs="Times New Roman"/>
              <w:bCs/>
              <w:kern w:val="2"/>
              <w:szCs w:val="32"/>
              <w:lang w:val="en-US" w:eastAsia="zh-CN" w:bidi="ar-SA"/>
            </w:rPr>
            <w:t>应急演练内容</w:t>
          </w:r>
          <w:r>
            <w:tab/>
          </w:r>
          <w:r>
            <w:fldChar w:fldCharType="begin"/>
          </w:r>
          <w:r>
            <w:instrText xml:space="preserve"> PAGEREF _Toc10313 \h </w:instrText>
          </w:r>
          <w:r>
            <w:fldChar w:fldCharType="separate"/>
          </w:r>
          <w:r>
            <w:t>44</w:t>
          </w:r>
          <w:r>
            <w:fldChar w:fldCharType="end"/>
          </w:r>
          <w:r>
            <w:fldChar w:fldCharType="end"/>
          </w:r>
        </w:p>
        <w:p w14:paraId="1E279B42">
          <w:pPr>
            <w:pStyle w:val="12"/>
            <w:tabs>
              <w:tab w:val="right" w:leader="dot" w:pos="8306"/>
              <w:tab w:val="clear" w:pos="8777"/>
            </w:tabs>
          </w:pPr>
          <w:r>
            <w:fldChar w:fldCharType="begin"/>
          </w:r>
          <w:r>
            <w:instrText xml:space="preserve"> HYPERLINK \l _Toc30186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 xml:space="preserve">4 </w:t>
          </w:r>
          <w:r>
            <w:rPr>
              <w:rFonts w:ascii="Times New Roman" w:hAnsi="Times New Roman" w:eastAsia="宋体" w:cs="Times New Roman"/>
              <w:bCs/>
              <w:kern w:val="2"/>
              <w:szCs w:val="32"/>
              <w:lang w:val="en-US" w:eastAsia="zh-CN" w:bidi="ar-SA"/>
            </w:rPr>
            <w:t>应急演练参加人员</w:t>
          </w:r>
          <w:r>
            <w:tab/>
          </w:r>
          <w:r>
            <w:fldChar w:fldCharType="begin"/>
          </w:r>
          <w:r>
            <w:instrText xml:space="preserve"> PAGEREF _Toc30186 \h </w:instrText>
          </w:r>
          <w:r>
            <w:fldChar w:fldCharType="separate"/>
          </w:r>
          <w:r>
            <w:t>44</w:t>
          </w:r>
          <w:r>
            <w:fldChar w:fldCharType="end"/>
          </w:r>
          <w:r>
            <w:fldChar w:fldCharType="end"/>
          </w:r>
        </w:p>
        <w:p w14:paraId="03836171">
          <w:pPr>
            <w:pStyle w:val="12"/>
            <w:tabs>
              <w:tab w:val="right" w:leader="dot" w:pos="8306"/>
              <w:tab w:val="clear" w:pos="8777"/>
            </w:tabs>
          </w:pPr>
          <w:r>
            <w:fldChar w:fldCharType="begin"/>
          </w:r>
          <w:r>
            <w:instrText xml:space="preserve"> HYPERLINK \l _Toc30252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 xml:space="preserve">5 </w:t>
          </w:r>
          <w:r>
            <w:rPr>
              <w:rFonts w:ascii="Times New Roman" w:hAnsi="Times New Roman" w:eastAsia="宋体" w:cs="Times New Roman"/>
              <w:bCs/>
              <w:kern w:val="2"/>
              <w:szCs w:val="32"/>
              <w:lang w:val="en-US" w:eastAsia="zh-CN" w:bidi="ar-SA"/>
            </w:rPr>
            <w:t>演练实施的基本过程</w:t>
          </w:r>
          <w:r>
            <w:tab/>
          </w:r>
          <w:r>
            <w:fldChar w:fldCharType="begin"/>
          </w:r>
          <w:r>
            <w:instrText xml:space="preserve"> PAGEREF _Toc30252 \h </w:instrText>
          </w:r>
          <w:r>
            <w:fldChar w:fldCharType="separate"/>
          </w:r>
          <w:r>
            <w:t>44</w:t>
          </w:r>
          <w:r>
            <w:fldChar w:fldCharType="end"/>
          </w:r>
          <w:r>
            <w:fldChar w:fldCharType="end"/>
          </w:r>
        </w:p>
        <w:p w14:paraId="538C5D36">
          <w:pPr>
            <w:pStyle w:val="12"/>
            <w:tabs>
              <w:tab w:val="right" w:leader="dot" w:pos="8306"/>
              <w:tab w:val="clear" w:pos="8777"/>
            </w:tabs>
          </w:pPr>
          <w:r>
            <w:fldChar w:fldCharType="begin"/>
          </w:r>
          <w:r>
            <w:instrText xml:space="preserve"> HYPERLINK \l _Toc20322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 xml:space="preserve">6 </w:t>
          </w:r>
          <w:r>
            <w:rPr>
              <w:rFonts w:ascii="Times New Roman" w:hAnsi="Times New Roman" w:eastAsia="宋体" w:cs="Times New Roman"/>
              <w:bCs/>
              <w:kern w:val="2"/>
              <w:szCs w:val="32"/>
              <w:lang w:val="en-US" w:eastAsia="zh-CN" w:bidi="ar-SA"/>
            </w:rPr>
            <w:t>演练结果</w:t>
          </w:r>
          <w:r>
            <w:rPr>
              <w:rFonts w:hint="eastAsia" w:ascii="Times New Roman" w:hAnsi="Times New Roman" w:eastAsia="宋体" w:cs="Times New Roman"/>
              <w:bCs/>
              <w:kern w:val="2"/>
              <w:szCs w:val="32"/>
              <w:lang w:val="en-US" w:eastAsia="zh-CN" w:bidi="ar-SA"/>
            </w:rPr>
            <w:t>激励机制</w:t>
          </w:r>
          <w:r>
            <w:tab/>
          </w:r>
          <w:r>
            <w:fldChar w:fldCharType="begin"/>
          </w:r>
          <w:r>
            <w:instrText xml:space="preserve"> PAGEREF _Toc20322 \h </w:instrText>
          </w:r>
          <w:r>
            <w:fldChar w:fldCharType="separate"/>
          </w:r>
          <w:r>
            <w:t>45</w:t>
          </w:r>
          <w:r>
            <w:fldChar w:fldCharType="end"/>
          </w:r>
          <w:r>
            <w:fldChar w:fldCharType="end"/>
          </w:r>
        </w:p>
        <w:p w14:paraId="76CCCF2B">
          <w:pPr>
            <w:pStyle w:val="12"/>
            <w:tabs>
              <w:tab w:val="right" w:leader="dot" w:pos="8306"/>
              <w:tab w:val="clear" w:pos="8777"/>
            </w:tabs>
          </w:pPr>
          <w:r>
            <w:fldChar w:fldCharType="begin"/>
          </w:r>
          <w:r>
            <w:instrText xml:space="preserve"> HYPERLINK \l _Toc13692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 xml:space="preserve">7 </w:t>
          </w:r>
          <w:r>
            <w:rPr>
              <w:rFonts w:ascii="Times New Roman" w:hAnsi="Times New Roman" w:eastAsia="宋体" w:cs="Times New Roman"/>
              <w:bCs/>
              <w:kern w:val="2"/>
              <w:szCs w:val="32"/>
              <w:lang w:val="en-US" w:eastAsia="zh-CN" w:bidi="ar-SA"/>
            </w:rPr>
            <w:t>应急演练注意事项</w:t>
          </w:r>
          <w:r>
            <w:tab/>
          </w:r>
          <w:r>
            <w:fldChar w:fldCharType="begin"/>
          </w:r>
          <w:r>
            <w:instrText xml:space="preserve"> PAGEREF _Toc13692 \h </w:instrText>
          </w:r>
          <w:r>
            <w:fldChar w:fldCharType="separate"/>
          </w:r>
          <w:r>
            <w:t>46</w:t>
          </w:r>
          <w:r>
            <w:fldChar w:fldCharType="end"/>
          </w:r>
          <w:r>
            <w:fldChar w:fldCharType="end"/>
          </w:r>
        </w:p>
        <w:p w14:paraId="6F02F38D">
          <w:pPr>
            <w:pStyle w:val="16"/>
            <w:tabs>
              <w:tab w:val="right" w:leader="dot" w:pos="8306"/>
              <w:tab w:val="clear" w:pos="8777"/>
            </w:tabs>
          </w:pPr>
          <w:r>
            <w:fldChar w:fldCharType="begin"/>
          </w:r>
          <w:r>
            <w:instrText xml:space="preserve"> HYPERLINK \l _Toc28396 </w:instrText>
          </w:r>
          <w:r>
            <w:fldChar w:fldCharType="separate"/>
          </w:r>
          <w:r>
            <w:rPr>
              <w:rFonts w:hint="eastAsia" w:ascii="Cambria" w:hAnsi="Cambria" w:eastAsia="宋体" w:cs="Times New Roman"/>
              <w:bCs/>
              <w:kern w:val="2"/>
              <w:szCs w:val="32"/>
              <w:lang w:val="en-US" w:eastAsia="zh-CN" w:bidi="ar-SA"/>
            </w:rPr>
            <w:t>7</w:t>
          </w:r>
          <w:r>
            <w:rPr>
              <w:rFonts w:ascii="Cambria" w:hAnsi="Cambria" w:eastAsia="宋体" w:cs="Times New Roman"/>
              <w:bCs/>
              <w:kern w:val="2"/>
              <w:szCs w:val="32"/>
              <w:lang w:val="en-US" w:eastAsia="zh-CN" w:bidi="ar-SA"/>
            </w:rPr>
            <w:t>、附则</w:t>
          </w:r>
          <w:r>
            <w:tab/>
          </w:r>
          <w:r>
            <w:fldChar w:fldCharType="begin"/>
          </w:r>
          <w:r>
            <w:instrText xml:space="preserve"> PAGEREF _Toc28396 \h </w:instrText>
          </w:r>
          <w:r>
            <w:fldChar w:fldCharType="separate"/>
          </w:r>
          <w:r>
            <w:t>46</w:t>
          </w:r>
          <w:r>
            <w:fldChar w:fldCharType="end"/>
          </w:r>
          <w:r>
            <w:fldChar w:fldCharType="end"/>
          </w:r>
        </w:p>
        <w:p w14:paraId="40CDDEFD">
          <w:pPr>
            <w:pStyle w:val="12"/>
            <w:tabs>
              <w:tab w:val="right" w:leader="dot" w:pos="8306"/>
              <w:tab w:val="clear" w:pos="8777"/>
            </w:tabs>
          </w:pPr>
          <w:r>
            <w:fldChar w:fldCharType="begin"/>
          </w:r>
          <w:r>
            <w:instrText xml:space="preserve"> HYPERLINK \l _Toc31891 </w:instrText>
          </w:r>
          <w:r>
            <w:fldChar w:fldCharType="separate"/>
          </w:r>
          <w:r>
            <w:rPr>
              <w:rFonts w:ascii="Times New Roman" w:hAnsi="Times New Roman" w:eastAsia="宋体" w:cs="Times New Roman"/>
              <w:bCs/>
              <w:kern w:val="2"/>
              <w:szCs w:val="32"/>
              <w:lang w:val="en-US" w:eastAsia="zh-CN" w:bidi="ar-SA"/>
            </w:rPr>
            <w:t>7.1</w:t>
          </w:r>
          <w:r>
            <w:rPr>
              <w:rFonts w:hint="eastAsia" w:ascii="Times New Roman" w:hAnsi="Times New Roman" w:eastAsia="宋体" w:cs="Times New Roman"/>
              <w:bCs/>
              <w:kern w:val="2"/>
              <w:szCs w:val="32"/>
              <w:lang w:val="en-US" w:eastAsia="zh-CN" w:bidi="ar-SA"/>
            </w:rPr>
            <w:t xml:space="preserve"> </w:t>
          </w:r>
          <w:r>
            <w:rPr>
              <w:rFonts w:ascii="Times New Roman" w:hAnsi="Times New Roman" w:eastAsia="宋体" w:cs="Times New Roman"/>
              <w:bCs/>
              <w:kern w:val="2"/>
              <w:szCs w:val="32"/>
              <w:lang w:val="en-US" w:eastAsia="zh-CN" w:bidi="ar-SA"/>
            </w:rPr>
            <w:t>预案解释权属</w:t>
          </w:r>
          <w:r>
            <w:tab/>
          </w:r>
          <w:r>
            <w:fldChar w:fldCharType="begin"/>
          </w:r>
          <w:r>
            <w:instrText xml:space="preserve"> PAGEREF _Toc31891 \h </w:instrText>
          </w:r>
          <w:r>
            <w:fldChar w:fldCharType="separate"/>
          </w:r>
          <w:r>
            <w:t>46</w:t>
          </w:r>
          <w:r>
            <w:fldChar w:fldCharType="end"/>
          </w:r>
          <w:r>
            <w:fldChar w:fldCharType="end"/>
          </w:r>
        </w:p>
        <w:p w14:paraId="39EC4A55">
          <w:pPr>
            <w:pStyle w:val="12"/>
            <w:tabs>
              <w:tab w:val="right" w:leader="dot" w:pos="8306"/>
              <w:tab w:val="clear" w:pos="8777"/>
            </w:tabs>
          </w:pPr>
          <w:r>
            <w:fldChar w:fldCharType="begin"/>
          </w:r>
          <w:r>
            <w:instrText xml:space="preserve"> HYPERLINK \l _Toc12414 </w:instrText>
          </w:r>
          <w:r>
            <w:fldChar w:fldCharType="separate"/>
          </w:r>
          <w:r>
            <w:rPr>
              <w:rFonts w:ascii="Times New Roman" w:hAnsi="Times New Roman" w:eastAsia="宋体" w:cs="Times New Roman"/>
              <w:bCs/>
              <w:kern w:val="2"/>
              <w:szCs w:val="32"/>
              <w:lang w:val="en-US" w:eastAsia="zh-CN" w:bidi="ar-SA"/>
            </w:rPr>
            <w:t>7.</w:t>
          </w:r>
          <w:r>
            <w:rPr>
              <w:rFonts w:hint="eastAsia" w:ascii="Times New Roman" w:hAnsi="Times New Roman" w:eastAsia="宋体" w:cs="Times New Roman"/>
              <w:bCs/>
              <w:kern w:val="2"/>
              <w:szCs w:val="32"/>
              <w:lang w:val="en-US" w:eastAsia="zh-CN" w:bidi="ar-SA"/>
            </w:rPr>
            <w:t xml:space="preserve">2 </w:t>
          </w:r>
          <w:r>
            <w:rPr>
              <w:rFonts w:ascii="Times New Roman" w:hAnsi="Times New Roman" w:eastAsia="宋体" w:cs="Times New Roman"/>
              <w:bCs/>
              <w:kern w:val="2"/>
              <w:szCs w:val="32"/>
              <w:lang w:val="en-US" w:eastAsia="zh-CN" w:bidi="ar-SA"/>
            </w:rPr>
            <w:t>预案</w:t>
          </w:r>
          <w:r>
            <w:rPr>
              <w:rFonts w:hint="eastAsia" w:ascii="Times New Roman" w:hAnsi="Times New Roman" w:eastAsia="宋体" w:cs="Times New Roman"/>
              <w:bCs/>
              <w:kern w:val="2"/>
              <w:szCs w:val="32"/>
              <w:lang w:val="en-US" w:eastAsia="zh-CN" w:bidi="ar-SA"/>
            </w:rPr>
            <w:t>修订</w:t>
          </w:r>
          <w:r>
            <w:tab/>
          </w:r>
          <w:r>
            <w:fldChar w:fldCharType="begin"/>
          </w:r>
          <w:r>
            <w:instrText xml:space="preserve"> PAGEREF _Toc12414 \h </w:instrText>
          </w:r>
          <w:r>
            <w:fldChar w:fldCharType="separate"/>
          </w:r>
          <w:r>
            <w:t>46</w:t>
          </w:r>
          <w:r>
            <w:fldChar w:fldCharType="end"/>
          </w:r>
          <w:r>
            <w:fldChar w:fldCharType="end"/>
          </w:r>
        </w:p>
        <w:p w14:paraId="66168DDB">
          <w:pPr>
            <w:pStyle w:val="12"/>
            <w:tabs>
              <w:tab w:val="right" w:leader="dot" w:pos="8306"/>
              <w:tab w:val="clear" w:pos="8777"/>
            </w:tabs>
          </w:pPr>
          <w:r>
            <w:fldChar w:fldCharType="begin"/>
          </w:r>
          <w:r>
            <w:instrText xml:space="preserve"> HYPERLINK \l _Toc12339 </w:instrText>
          </w:r>
          <w:r>
            <w:fldChar w:fldCharType="separate"/>
          </w:r>
          <w:r>
            <w:rPr>
              <w:rFonts w:hint="eastAsia" w:ascii="Times New Roman" w:hAnsi="Times New Roman" w:eastAsia="宋体" w:cs="Times New Roman"/>
              <w:bCs/>
              <w:kern w:val="2"/>
              <w:szCs w:val="32"/>
              <w:lang w:val="en-US" w:eastAsia="zh-CN" w:bidi="ar-SA"/>
            </w:rPr>
            <w:t>7.3名词术语解释</w:t>
          </w:r>
          <w:r>
            <w:tab/>
          </w:r>
          <w:r>
            <w:fldChar w:fldCharType="begin"/>
          </w:r>
          <w:r>
            <w:instrText xml:space="preserve"> PAGEREF _Toc12339 \h </w:instrText>
          </w:r>
          <w:r>
            <w:fldChar w:fldCharType="separate"/>
          </w:r>
          <w:r>
            <w:t>47</w:t>
          </w:r>
          <w:r>
            <w:fldChar w:fldCharType="end"/>
          </w:r>
          <w:r>
            <w:fldChar w:fldCharType="end"/>
          </w:r>
        </w:p>
        <w:p w14:paraId="471492AF">
          <w:r>
            <w:fldChar w:fldCharType="end"/>
          </w:r>
        </w:p>
      </w:sdtContent>
    </w:sdt>
    <w:p w14:paraId="1B817ABD">
      <w:pPr>
        <w:keepNext/>
        <w:keepLines/>
        <w:widowControl w:val="0"/>
        <w:bidi w:val="0"/>
        <w:spacing w:before="200" w:after="100" w:line="416" w:lineRule="auto"/>
        <w:ind w:firstLine="0" w:firstLineChars="0"/>
        <w:jc w:val="both"/>
        <w:outlineLvl w:val="1"/>
        <w:rPr>
          <w:rFonts w:hint="eastAsia" w:ascii="Cambria" w:hAnsi="Cambria" w:eastAsia="宋体" w:cs="Times New Roman"/>
          <w:b/>
          <w:bCs/>
          <w:kern w:val="2"/>
          <w:sz w:val="32"/>
          <w:szCs w:val="32"/>
          <w:lang w:val="en-US" w:eastAsia="zh-CN" w:bidi="ar-S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6DCDCA8A">
      <w:pPr>
        <w:keepNext/>
        <w:keepLines/>
        <w:widowControl w:val="0"/>
        <w:bidi w:val="0"/>
        <w:spacing w:before="200" w:after="100" w:line="416" w:lineRule="auto"/>
        <w:ind w:firstLine="0" w:firstLineChars="0"/>
        <w:jc w:val="both"/>
        <w:outlineLvl w:val="1"/>
        <w:rPr>
          <w:rFonts w:ascii="Cambria" w:hAnsi="Cambria" w:eastAsia="宋体" w:cs="Times New Roman"/>
          <w:b/>
          <w:bCs/>
          <w:kern w:val="2"/>
          <w:sz w:val="32"/>
          <w:szCs w:val="32"/>
          <w:lang w:val="en-US" w:eastAsia="zh-CN" w:bidi="ar-SA"/>
        </w:rPr>
      </w:pPr>
      <w:bookmarkStart w:id="6" w:name="_Toc15843"/>
      <w:r>
        <w:rPr>
          <w:rFonts w:hint="eastAsia" w:ascii="Cambria" w:hAnsi="Cambria" w:eastAsia="宋体" w:cs="Times New Roman"/>
          <w:b/>
          <w:bCs/>
          <w:kern w:val="2"/>
          <w:sz w:val="32"/>
          <w:szCs w:val="32"/>
          <w:lang w:val="en-US" w:eastAsia="zh-CN" w:bidi="ar-SA"/>
        </w:rPr>
        <w:t>1</w:t>
      </w:r>
      <w:r>
        <w:rPr>
          <w:rFonts w:ascii="Cambria" w:hAnsi="Cambria" w:eastAsia="宋体" w:cs="Times New Roman"/>
          <w:b/>
          <w:bCs/>
          <w:kern w:val="2"/>
          <w:sz w:val="32"/>
          <w:szCs w:val="32"/>
          <w:lang w:val="en-US" w:eastAsia="zh-CN" w:bidi="ar-SA"/>
        </w:rPr>
        <w:t>、总则</w:t>
      </w:r>
      <w:bookmarkEnd w:id="0"/>
      <w:bookmarkEnd w:id="1"/>
      <w:bookmarkEnd w:id="2"/>
      <w:bookmarkEnd w:id="3"/>
      <w:bookmarkEnd w:id="4"/>
      <w:bookmarkEnd w:id="5"/>
      <w:bookmarkEnd w:id="6"/>
    </w:p>
    <w:p w14:paraId="66D36EDB">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7" w:name="_Toc26236"/>
      <w:bookmarkStart w:id="8" w:name="_Toc321"/>
      <w:bookmarkStart w:id="9" w:name="_Toc26888"/>
      <w:bookmarkStart w:id="10" w:name="_Toc15631"/>
      <w:bookmarkStart w:id="11" w:name="_Toc24135"/>
      <w:bookmarkStart w:id="12" w:name="_Toc16932"/>
      <w:bookmarkStart w:id="13" w:name="_Toc32361"/>
      <w:r>
        <w:rPr>
          <w:rFonts w:ascii="Times New Roman" w:hAnsi="Times New Roman" w:eastAsia="宋体" w:cs="Times New Roman"/>
          <w:b/>
          <w:bCs/>
          <w:kern w:val="2"/>
          <w:sz w:val="32"/>
          <w:szCs w:val="32"/>
          <w:lang w:val="en-US" w:eastAsia="zh-CN" w:bidi="ar-SA"/>
        </w:rPr>
        <w:t>1.1</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编制目的</w:t>
      </w:r>
      <w:bookmarkEnd w:id="7"/>
      <w:bookmarkEnd w:id="8"/>
      <w:bookmarkEnd w:id="9"/>
      <w:bookmarkEnd w:id="10"/>
      <w:bookmarkEnd w:id="11"/>
      <w:bookmarkEnd w:id="12"/>
      <w:bookmarkEnd w:id="13"/>
    </w:p>
    <w:p w14:paraId="35142370">
      <w:pPr>
        <w:bidi w:val="0"/>
      </w:pPr>
      <w:r>
        <w:t>为预防和及时有效地应对武陵源区卸甲峪水库集中式饮用水源地突发环境事件，保障人民群众饮水安全和公众健康，全面提高该饮用水水源地突发环境事件的防范和处置能力，最大限度地保护水环境，特制订本预案。</w:t>
      </w:r>
    </w:p>
    <w:p w14:paraId="6B2AD57A">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4" w:name="_Toc32087"/>
      <w:bookmarkStart w:id="15" w:name="_Toc3975"/>
      <w:bookmarkStart w:id="16" w:name="_Toc21373"/>
      <w:bookmarkStart w:id="17" w:name="_Toc21224"/>
      <w:bookmarkStart w:id="18" w:name="_Toc2503"/>
      <w:bookmarkStart w:id="19" w:name="_Toc26627"/>
      <w:bookmarkStart w:id="20" w:name="_Toc27059"/>
      <w:r>
        <w:rPr>
          <w:rFonts w:ascii="Times New Roman" w:hAnsi="Times New Roman" w:eastAsia="宋体" w:cs="Times New Roman"/>
          <w:b/>
          <w:bCs/>
          <w:kern w:val="2"/>
          <w:sz w:val="32"/>
          <w:szCs w:val="32"/>
          <w:lang w:val="en-US" w:eastAsia="zh-CN" w:bidi="ar-SA"/>
        </w:rPr>
        <w:t>1.2</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编制依据</w:t>
      </w:r>
      <w:bookmarkEnd w:id="14"/>
      <w:bookmarkEnd w:id="15"/>
      <w:bookmarkEnd w:id="16"/>
      <w:bookmarkEnd w:id="17"/>
      <w:bookmarkEnd w:id="18"/>
      <w:bookmarkEnd w:id="19"/>
      <w:bookmarkEnd w:id="20"/>
    </w:p>
    <w:p w14:paraId="39097DAA">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1.2.1</w:t>
      </w:r>
      <w:r>
        <w:rPr>
          <w:rFonts w:hint="eastAsia" w:ascii="Cambria" w:hAnsi="Cambria" w:eastAsia="宋体" w:cs="Times New Roman"/>
          <w:b/>
          <w:bCs/>
          <w:kern w:val="2"/>
          <w:sz w:val="28"/>
          <w:szCs w:val="28"/>
          <w:lang w:val="en-US" w:eastAsia="zh-CN" w:bidi="ar-SA"/>
        </w:rPr>
        <w:t xml:space="preserve"> 法律法规</w:t>
      </w:r>
      <w:r>
        <w:rPr>
          <w:rFonts w:ascii="Cambria" w:hAnsi="Cambria" w:eastAsia="宋体" w:cs="Times New Roman"/>
          <w:b/>
          <w:bCs/>
          <w:kern w:val="2"/>
          <w:sz w:val="28"/>
          <w:szCs w:val="28"/>
          <w:lang w:val="en-US" w:eastAsia="zh-CN" w:bidi="ar-SA"/>
        </w:rPr>
        <w:t>和规章</w:t>
      </w:r>
    </w:p>
    <w:p w14:paraId="70B957FE">
      <w:pPr>
        <w:bidi w:val="0"/>
      </w:pPr>
      <w:r>
        <w:rPr>
          <w:rFonts w:hint="eastAsia" w:eastAsia="宋体"/>
          <w:lang w:eastAsia="zh-CN"/>
        </w:rPr>
        <w:t>（</w:t>
      </w:r>
      <w:r>
        <w:rPr>
          <w:rFonts w:hint="eastAsia" w:ascii="Times New Roman" w:eastAsia="宋体"/>
          <w:lang w:val="en-US" w:eastAsia="zh-CN"/>
        </w:rPr>
        <w:t>1</w:t>
      </w:r>
      <w:r>
        <w:rPr>
          <w:rFonts w:hint="eastAsia" w:eastAsia="宋体"/>
          <w:lang w:eastAsia="zh-CN"/>
        </w:rPr>
        <w:t>）</w:t>
      </w:r>
      <w:r>
        <w:t>《中华人民共和国环境保护法》；</w:t>
      </w:r>
    </w:p>
    <w:p w14:paraId="19D6DBCE">
      <w:pPr>
        <w:bidi w:val="0"/>
      </w:pPr>
      <w:r>
        <w:rPr>
          <w:rFonts w:hint="eastAsia" w:eastAsia="宋体"/>
          <w:lang w:eastAsia="zh-CN"/>
        </w:rPr>
        <w:t>（</w:t>
      </w:r>
      <w:r>
        <w:rPr>
          <w:rFonts w:hint="eastAsia" w:ascii="Times New Roman" w:eastAsia="宋体"/>
          <w:lang w:val="en-US" w:eastAsia="zh-CN"/>
        </w:rPr>
        <w:t>2</w:t>
      </w:r>
      <w:r>
        <w:rPr>
          <w:rFonts w:hint="eastAsia" w:eastAsia="宋体"/>
          <w:lang w:eastAsia="zh-CN"/>
        </w:rPr>
        <w:t>）</w:t>
      </w:r>
      <w:r>
        <w:t>《中华人民共和国突发事件应对法》；</w:t>
      </w:r>
    </w:p>
    <w:p w14:paraId="4E49B634">
      <w:pPr>
        <w:bidi w:val="0"/>
      </w:pPr>
      <w:r>
        <w:rPr>
          <w:rFonts w:hint="eastAsia" w:eastAsia="宋体"/>
          <w:lang w:eastAsia="zh-CN"/>
        </w:rPr>
        <w:t>（</w:t>
      </w:r>
      <w:r>
        <w:rPr>
          <w:rFonts w:hint="eastAsia" w:ascii="Times New Roman" w:eastAsia="宋体"/>
          <w:lang w:val="en-US" w:eastAsia="zh-CN"/>
        </w:rPr>
        <w:t>3</w:t>
      </w:r>
      <w:r>
        <w:rPr>
          <w:rFonts w:hint="eastAsia" w:eastAsia="宋体"/>
          <w:lang w:eastAsia="zh-CN"/>
        </w:rPr>
        <w:t>）</w:t>
      </w:r>
      <w:r>
        <w:t>《中华人民共和国水污染防治法》；</w:t>
      </w:r>
    </w:p>
    <w:p w14:paraId="58AD5636">
      <w:pPr>
        <w:bidi w:val="0"/>
      </w:pPr>
      <w:r>
        <w:rPr>
          <w:rFonts w:hint="eastAsia" w:eastAsia="宋体"/>
          <w:lang w:eastAsia="zh-CN"/>
        </w:rPr>
        <w:t>（</w:t>
      </w:r>
      <w:r>
        <w:rPr>
          <w:rFonts w:hint="eastAsia" w:ascii="Times New Roman" w:eastAsia="宋体"/>
          <w:lang w:val="en-US" w:eastAsia="zh-CN"/>
        </w:rPr>
        <w:t>4</w:t>
      </w:r>
      <w:r>
        <w:rPr>
          <w:rFonts w:hint="eastAsia" w:eastAsia="宋体"/>
          <w:lang w:eastAsia="zh-CN"/>
        </w:rPr>
        <w:t>）</w:t>
      </w:r>
      <w:r>
        <w:t>《危险化学品安全管理条例》；</w:t>
      </w:r>
    </w:p>
    <w:p w14:paraId="5B1B2589">
      <w:pPr>
        <w:bidi w:val="0"/>
      </w:pPr>
      <w:r>
        <w:rPr>
          <w:rFonts w:hint="eastAsia" w:eastAsia="宋体"/>
          <w:lang w:eastAsia="zh-CN"/>
        </w:rPr>
        <w:t>（</w:t>
      </w:r>
      <w:r>
        <w:rPr>
          <w:rFonts w:hint="eastAsia" w:ascii="Times New Roman" w:eastAsia="宋体"/>
          <w:lang w:val="en-US" w:eastAsia="zh-CN"/>
        </w:rPr>
        <w:t>5</w:t>
      </w:r>
      <w:r>
        <w:rPr>
          <w:rFonts w:hint="eastAsia" w:eastAsia="宋体"/>
          <w:lang w:eastAsia="zh-CN"/>
        </w:rPr>
        <w:t>）</w:t>
      </w:r>
      <w:r>
        <w:t>《饮用水水源保护区污染防治管理规定》；</w:t>
      </w:r>
    </w:p>
    <w:p w14:paraId="4263534D">
      <w:pPr>
        <w:bidi w:val="0"/>
      </w:pPr>
      <w:r>
        <w:rPr>
          <w:rFonts w:hint="eastAsia" w:eastAsia="宋体"/>
          <w:lang w:eastAsia="zh-CN"/>
        </w:rPr>
        <w:t>（</w:t>
      </w:r>
      <w:r>
        <w:rPr>
          <w:rFonts w:hint="eastAsia" w:ascii="Times New Roman" w:eastAsia="宋体"/>
          <w:lang w:val="en-US" w:eastAsia="zh-CN"/>
        </w:rPr>
        <w:t>6</w:t>
      </w:r>
      <w:r>
        <w:rPr>
          <w:rFonts w:hint="eastAsia" w:eastAsia="宋体"/>
          <w:lang w:eastAsia="zh-CN"/>
        </w:rPr>
        <w:t>）</w:t>
      </w:r>
      <w:r>
        <w:t>《突发环境事件信息报告办法》；</w:t>
      </w:r>
    </w:p>
    <w:p w14:paraId="5FB112FA">
      <w:pPr>
        <w:bidi w:val="0"/>
      </w:pPr>
      <w:r>
        <w:rPr>
          <w:rFonts w:hint="eastAsia" w:eastAsia="宋体"/>
          <w:lang w:eastAsia="zh-CN"/>
        </w:rPr>
        <w:t>（</w:t>
      </w:r>
      <w:r>
        <w:rPr>
          <w:rFonts w:hint="eastAsia" w:ascii="Times New Roman" w:eastAsia="宋体"/>
          <w:lang w:val="en-US" w:eastAsia="zh-CN"/>
        </w:rPr>
        <w:t>7</w:t>
      </w:r>
      <w:r>
        <w:rPr>
          <w:rFonts w:hint="eastAsia" w:eastAsia="宋体"/>
          <w:lang w:eastAsia="zh-CN"/>
        </w:rPr>
        <w:t>）</w:t>
      </w:r>
      <w:r>
        <w:t>《突发环境事件调查处理办法》；</w:t>
      </w:r>
    </w:p>
    <w:p w14:paraId="1A7E2D14">
      <w:pPr>
        <w:bidi w:val="0"/>
      </w:pPr>
      <w:r>
        <w:rPr>
          <w:rFonts w:hint="eastAsia" w:eastAsia="宋体"/>
          <w:lang w:eastAsia="zh-CN"/>
        </w:rPr>
        <w:t>（</w:t>
      </w:r>
      <w:r>
        <w:rPr>
          <w:rFonts w:hint="eastAsia" w:ascii="Times New Roman" w:eastAsia="宋体"/>
          <w:lang w:val="en-US" w:eastAsia="zh-CN"/>
        </w:rPr>
        <w:t>8</w:t>
      </w:r>
      <w:r>
        <w:rPr>
          <w:rFonts w:hint="eastAsia" w:eastAsia="宋体"/>
          <w:lang w:eastAsia="zh-CN"/>
        </w:rPr>
        <w:t>）</w:t>
      </w:r>
      <w:r>
        <w:t xml:space="preserve">《突发环境事件应急管理办法》； </w:t>
      </w:r>
    </w:p>
    <w:p w14:paraId="4C86FF03">
      <w:pPr>
        <w:bidi w:val="0"/>
      </w:pPr>
      <w:r>
        <w:rPr>
          <w:rFonts w:hint="eastAsia" w:eastAsia="宋体"/>
          <w:lang w:eastAsia="zh-CN"/>
        </w:rPr>
        <w:t>（</w:t>
      </w:r>
      <w:r>
        <w:rPr>
          <w:rFonts w:hint="eastAsia" w:ascii="Times New Roman" w:eastAsia="宋体"/>
          <w:lang w:val="en-US" w:eastAsia="zh-CN"/>
        </w:rPr>
        <w:t>9</w:t>
      </w:r>
      <w:r>
        <w:rPr>
          <w:rFonts w:hint="eastAsia" w:eastAsia="宋体"/>
          <w:lang w:eastAsia="zh-CN"/>
        </w:rPr>
        <w:t>）</w:t>
      </w:r>
      <w:r>
        <w:t>《城市供水水质管理规定》；</w:t>
      </w:r>
    </w:p>
    <w:p w14:paraId="1625DC50">
      <w:pPr>
        <w:bidi w:val="0"/>
      </w:pPr>
      <w:r>
        <w:rPr>
          <w:rFonts w:hint="eastAsia" w:eastAsia="宋体"/>
          <w:lang w:eastAsia="zh-CN"/>
        </w:rPr>
        <w:t>（</w:t>
      </w:r>
      <w:r>
        <w:rPr>
          <w:rFonts w:hint="eastAsia" w:ascii="Times New Roman" w:eastAsia="宋体"/>
          <w:lang w:val="en-US" w:eastAsia="zh-CN"/>
        </w:rPr>
        <w:t>10</w:t>
      </w:r>
      <w:r>
        <w:rPr>
          <w:rFonts w:hint="eastAsia" w:eastAsia="宋体"/>
          <w:lang w:eastAsia="zh-CN"/>
        </w:rPr>
        <w:t>）</w:t>
      </w:r>
      <w:r>
        <w:t>《生活饮用水卫生监督管理办法》</w:t>
      </w:r>
      <w:r>
        <w:rPr>
          <w:rFonts w:hint="eastAsia"/>
        </w:rPr>
        <w:t>；</w:t>
      </w:r>
    </w:p>
    <w:p w14:paraId="642C1AE2">
      <w:pPr>
        <w:bidi w:val="0"/>
      </w:pPr>
      <w:r>
        <w:rPr>
          <w:rFonts w:hint="eastAsia" w:eastAsia="宋体"/>
          <w:lang w:eastAsia="zh-CN"/>
        </w:rPr>
        <w:t>（</w:t>
      </w:r>
      <w:r>
        <w:rPr>
          <w:rFonts w:hint="eastAsia" w:ascii="Times New Roman" w:eastAsia="宋体"/>
          <w:lang w:val="en-US" w:eastAsia="zh-CN"/>
        </w:rPr>
        <w:t>11</w:t>
      </w:r>
      <w:r>
        <w:rPr>
          <w:rFonts w:hint="eastAsia" w:eastAsia="宋体"/>
          <w:lang w:eastAsia="zh-CN"/>
        </w:rPr>
        <w:t>）</w:t>
      </w:r>
      <w:r>
        <w:t>《湖南省环境保护条例》</w:t>
      </w:r>
      <w:r>
        <w:rPr>
          <w:rFonts w:hint="eastAsia"/>
        </w:rPr>
        <w:t>；</w:t>
      </w:r>
    </w:p>
    <w:p w14:paraId="0CBD9DD9">
      <w:pPr>
        <w:bidi w:val="0"/>
      </w:pPr>
      <w:r>
        <w:rPr>
          <w:rFonts w:hint="eastAsia" w:eastAsia="宋体"/>
          <w:lang w:eastAsia="zh-CN"/>
        </w:rPr>
        <w:t>（</w:t>
      </w:r>
      <w:r>
        <w:rPr>
          <w:rFonts w:hint="eastAsia" w:ascii="Times New Roman" w:eastAsia="宋体"/>
          <w:lang w:val="en-US" w:eastAsia="zh-CN"/>
        </w:rPr>
        <w:t>12</w:t>
      </w:r>
      <w:r>
        <w:rPr>
          <w:rFonts w:hint="eastAsia" w:eastAsia="宋体"/>
          <w:lang w:eastAsia="zh-CN"/>
        </w:rPr>
        <w:t>）</w:t>
      </w:r>
      <w:r>
        <w:t>《湖南省饮用水水源保护条例》</w:t>
      </w:r>
      <w:r>
        <w:rPr>
          <w:rFonts w:hint="eastAsia"/>
        </w:rPr>
        <w:t>。</w:t>
      </w:r>
    </w:p>
    <w:p w14:paraId="34984302">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1.2.2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有关预案、标准规范和规范性文件</w:t>
      </w:r>
    </w:p>
    <w:p w14:paraId="6E2DC825">
      <w:pPr>
        <w:bidi w:val="0"/>
      </w:pPr>
      <w:r>
        <w:rPr>
          <w:rFonts w:hint="eastAsia" w:eastAsia="宋体"/>
          <w:lang w:eastAsia="zh-CN"/>
        </w:rPr>
        <w:t>（</w:t>
      </w:r>
      <w:r>
        <w:rPr>
          <w:rFonts w:hint="eastAsia" w:ascii="Times New Roman" w:eastAsia="宋体"/>
          <w:lang w:val="en-US" w:eastAsia="zh-CN"/>
        </w:rPr>
        <w:t>1</w:t>
      </w:r>
      <w:r>
        <w:rPr>
          <w:rFonts w:hint="eastAsia" w:eastAsia="宋体"/>
          <w:lang w:eastAsia="zh-CN"/>
        </w:rPr>
        <w:t>）</w:t>
      </w:r>
      <w:r>
        <w:t>《国家突发公共事件总体应急预案》；</w:t>
      </w:r>
    </w:p>
    <w:p w14:paraId="0C9669F0">
      <w:pPr>
        <w:bidi w:val="0"/>
      </w:pPr>
      <w:r>
        <w:rPr>
          <w:rFonts w:hint="eastAsia" w:eastAsia="宋体"/>
          <w:lang w:eastAsia="zh-CN"/>
        </w:rPr>
        <w:t>（</w:t>
      </w:r>
      <w:r>
        <w:rPr>
          <w:rFonts w:hint="eastAsia" w:ascii="Times New Roman" w:eastAsia="宋体"/>
          <w:lang w:val="en-US" w:eastAsia="zh-CN"/>
        </w:rPr>
        <w:t>2</w:t>
      </w:r>
      <w:r>
        <w:rPr>
          <w:rFonts w:hint="eastAsia" w:eastAsia="宋体"/>
          <w:lang w:eastAsia="zh-CN"/>
        </w:rPr>
        <w:t>）</w:t>
      </w:r>
      <w:r>
        <w:t>《国家安全生产事故灾难应急预案》；</w:t>
      </w:r>
    </w:p>
    <w:p w14:paraId="506B5C08">
      <w:pPr>
        <w:bidi w:val="0"/>
      </w:pPr>
      <w:r>
        <w:rPr>
          <w:rFonts w:hint="eastAsia" w:eastAsia="宋体"/>
          <w:lang w:eastAsia="zh-CN"/>
        </w:rPr>
        <w:t>（</w:t>
      </w:r>
      <w:r>
        <w:rPr>
          <w:rFonts w:hint="eastAsia" w:ascii="Times New Roman" w:eastAsia="宋体"/>
          <w:lang w:val="en-US" w:eastAsia="zh-CN"/>
        </w:rPr>
        <w:t>3</w:t>
      </w:r>
      <w:r>
        <w:rPr>
          <w:rFonts w:hint="eastAsia" w:eastAsia="宋体"/>
          <w:lang w:eastAsia="zh-CN"/>
        </w:rPr>
        <w:t>）</w:t>
      </w:r>
      <w:r>
        <w:t>《地表水环境质量标准》（GB 3838</w:t>
      </w:r>
      <w:r>
        <w:rPr>
          <w:rFonts w:hint="eastAsia" w:eastAsia="宋体"/>
          <w:lang w:eastAsia="zh-CN"/>
        </w:rPr>
        <w:t>）</w:t>
      </w:r>
      <w:r>
        <w:t>；</w:t>
      </w:r>
    </w:p>
    <w:p w14:paraId="71460DF9">
      <w:pPr>
        <w:bidi w:val="0"/>
      </w:pPr>
      <w:r>
        <w:rPr>
          <w:rFonts w:hint="eastAsia" w:eastAsia="宋体"/>
          <w:lang w:eastAsia="zh-CN"/>
        </w:rPr>
        <w:t>（</w:t>
      </w:r>
      <w:r>
        <w:rPr>
          <w:rFonts w:hint="eastAsia" w:ascii="Times New Roman" w:eastAsia="宋体"/>
          <w:lang w:val="en-US" w:eastAsia="zh-CN"/>
        </w:rPr>
        <w:t>4</w:t>
      </w:r>
      <w:r>
        <w:rPr>
          <w:rFonts w:hint="eastAsia" w:eastAsia="宋体"/>
          <w:lang w:eastAsia="zh-CN"/>
        </w:rPr>
        <w:t>）</w:t>
      </w:r>
      <w:r>
        <w:t>《突发环境事件应急监测技术规范》（HJ 589）；</w:t>
      </w:r>
    </w:p>
    <w:p w14:paraId="554B44AD">
      <w:pPr>
        <w:bidi w:val="0"/>
      </w:pPr>
      <w:r>
        <w:rPr>
          <w:rFonts w:hint="eastAsia" w:eastAsia="宋体"/>
          <w:lang w:eastAsia="zh-CN"/>
        </w:rPr>
        <w:t>（</w:t>
      </w:r>
      <w:r>
        <w:rPr>
          <w:rFonts w:hint="eastAsia" w:ascii="Times New Roman" w:eastAsia="宋体"/>
          <w:lang w:val="en-US" w:eastAsia="zh-CN"/>
        </w:rPr>
        <w:t>5</w:t>
      </w:r>
      <w:r>
        <w:rPr>
          <w:rFonts w:hint="eastAsia" w:eastAsia="宋体"/>
          <w:lang w:eastAsia="zh-CN"/>
        </w:rPr>
        <w:t>）</w:t>
      </w:r>
      <w:r>
        <w:t>《集中式饮用水水源地规范化建设环境保护技术要求》（HJ 773）；</w:t>
      </w:r>
    </w:p>
    <w:p w14:paraId="7DF1C653">
      <w:pPr>
        <w:bidi w:val="0"/>
      </w:pPr>
      <w:r>
        <w:rPr>
          <w:rFonts w:hint="eastAsia" w:eastAsia="宋体"/>
          <w:lang w:eastAsia="zh-CN"/>
        </w:rPr>
        <w:t>（</w:t>
      </w:r>
      <w:r>
        <w:rPr>
          <w:rFonts w:hint="eastAsia" w:ascii="Times New Roman" w:eastAsia="宋体"/>
          <w:lang w:val="en-US" w:eastAsia="zh-CN"/>
        </w:rPr>
        <w:t>6</w:t>
      </w:r>
      <w:r>
        <w:rPr>
          <w:rFonts w:hint="eastAsia" w:eastAsia="宋体"/>
          <w:lang w:eastAsia="zh-CN"/>
        </w:rPr>
        <w:t>）</w:t>
      </w:r>
      <w:r>
        <w:t>《集中式饮用水水源地环境保护状况评估技术规范》（HJ 774）；</w:t>
      </w:r>
    </w:p>
    <w:p w14:paraId="120AC2CC">
      <w:pPr>
        <w:bidi w:val="0"/>
      </w:pPr>
      <w:r>
        <w:rPr>
          <w:rFonts w:hint="eastAsia" w:eastAsia="宋体"/>
          <w:lang w:eastAsia="zh-CN"/>
        </w:rPr>
        <w:t>（</w:t>
      </w:r>
      <w:r>
        <w:rPr>
          <w:rFonts w:hint="eastAsia" w:ascii="Times New Roman" w:eastAsia="宋体"/>
          <w:lang w:val="en-US" w:eastAsia="zh-CN"/>
        </w:rPr>
        <w:t>7</w:t>
      </w:r>
      <w:r>
        <w:rPr>
          <w:rFonts w:hint="eastAsia" w:eastAsia="宋体"/>
          <w:lang w:eastAsia="zh-CN"/>
        </w:rPr>
        <w:t>）</w:t>
      </w:r>
      <w:r>
        <w:t>《突发环境事件应急预案管理暂行办法》（环发〔2010〕113号）；</w:t>
      </w:r>
    </w:p>
    <w:p w14:paraId="68C7AD16">
      <w:pPr>
        <w:bidi w:val="0"/>
      </w:pPr>
      <w:r>
        <w:rPr>
          <w:rFonts w:hint="eastAsia" w:eastAsia="宋体"/>
          <w:lang w:eastAsia="zh-CN"/>
        </w:rPr>
        <w:t>（</w:t>
      </w:r>
      <w:r>
        <w:rPr>
          <w:rFonts w:hint="eastAsia" w:ascii="Times New Roman" w:eastAsia="宋体"/>
          <w:lang w:val="en-US" w:eastAsia="zh-CN"/>
        </w:rPr>
        <w:t>8</w:t>
      </w:r>
      <w:r>
        <w:rPr>
          <w:rFonts w:hint="eastAsia" w:eastAsia="宋体"/>
          <w:lang w:eastAsia="zh-CN"/>
        </w:rPr>
        <w:t>）</w:t>
      </w:r>
      <w:r>
        <w:t>《集中式地表水饮用水源地应急预案编制指南（试行）》（2018年）</w:t>
      </w:r>
    </w:p>
    <w:p w14:paraId="1A2133EE">
      <w:pPr>
        <w:bidi w:val="0"/>
      </w:pPr>
      <w:r>
        <w:rPr>
          <w:rFonts w:hint="eastAsia" w:eastAsia="宋体"/>
          <w:lang w:eastAsia="zh-CN"/>
        </w:rPr>
        <w:t>（</w:t>
      </w:r>
      <w:r>
        <w:rPr>
          <w:rFonts w:hint="eastAsia" w:ascii="Times New Roman" w:eastAsia="宋体"/>
          <w:lang w:val="en-US" w:eastAsia="zh-CN"/>
        </w:rPr>
        <w:t>9</w:t>
      </w:r>
      <w:r>
        <w:rPr>
          <w:rFonts w:hint="eastAsia" w:eastAsia="宋体"/>
          <w:lang w:eastAsia="zh-CN"/>
        </w:rPr>
        <w:t>）</w:t>
      </w:r>
      <w:r>
        <w:t>关于答复全国集中式饮用水源地环境保护专项行动有关问题的函（环办环监函</w:t>
      </w:r>
      <w:r>
        <w:rPr>
          <w:rFonts w:hint="eastAsia" w:eastAsia="宋体"/>
          <w:lang w:eastAsia="zh-CN"/>
        </w:rPr>
        <w:t>〔</w:t>
      </w:r>
      <w:r>
        <w:t>2018</w:t>
      </w:r>
      <w:r>
        <w:rPr>
          <w:rFonts w:hint="eastAsia" w:eastAsia="宋体"/>
          <w:lang w:eastAsia="zh-CN"/>
        </w:rPr>
        <w:t>〕</w:t>
      </w:r>
      <w:r>
        <w:t>767号）</w:t>
      </w:r>
    </w:p>
    <w:p w14:paraId="3B33B05C">
      <w:pPr>
        <w:bidi w:val="0"/>
      </w:pPr>
      <w:r>
        <w:rPr>
          <w:rFonts w:hint="eastAsia" w:eastAsia="宋体"/>
          <w:lang w:eastAsia="zh-CN"/>
        </w:rPr>
        <w:t>（</w:t>
      </w:r>
      <w:r>
        <w:rPr>
          <w:rFonts w:hint="eastAsia" w:ascii="Times New Roman" w:eastAsia="宋体"/>
          <w:lang w:val="en-US" w:eastAsia="zh-CN"/>
        </w:rPr>
        <w:t>10</w:t>
      </w:r>
      <w:r>
        <w:rPr>
          <w:rFonts w:hint="eastAsia" w:eastAsia="宋体"/>
          <w:lang w:eastAsia="zh-CN"/>
        </w:rPr>
        <w:t>）</w:t>
      </w:r>
      <w:r>
        <w:t>《2018年全省环境应急管理工作要点》（湘环函〔2018〕126号）</w:t>
      </w:r>
    </w:p>
    <w:p w14:paraId="4932E31E">
      <w:pPr>
        <w:bidi w:val="0"/>
      </w:pPr>
      <w:r>
        <w:rPr>
          <w:rFonts w:hint="eastAsia" w:eastAsia="宋体"/>
          <w:lang w:eastAsia="zh-CN"/>
        </w:rPr>
        <w:t>（</w:t>
      </w:r>
      <w:r>
        <w:rPr>
          <w:rFonts w:hint="eastAsia" w:ascii="Times New Roman" w:eastAsia="宋体"/>
          <w:lang w:val="en-US" w:eastAsia="zh-CN"/>
        </w:rPr>
        <w:t>11</w:t>
      </w:r>
      <w:r>
        <w:rPr>
          <w:rFonts w:hint="eastAsia" w:eastAsia="宋体"/>
          <w:lang w:eastAsia="zh-CN"/>
        </w:rPr>
        <w:t>）</w:t>
      </w:r>
      <w:r>
        <w:t>《集中式地表饮用水水源地环境应急管理工作指南》（环办〔2011〕93号）；</w:t>
      </w:r>
    </w:p>
    <w:p w14:paraId="55C4537A">
      <w:pPr>
        <w:bidi w:val="0"/>
      </w:pPr>
      <w:r>
        <w:rPr>
          <w:rFonts w:hint="eastAsia" w:eastAsia="宋体"/>
          <w:lang w:eastAsia="zh-CN"/>
        </w:rPr>
        <w:t>（</w:t>
      </w:r>
      <w:r>
        <w:rPr>
          <w:rFonts w:hint="eastAsia" w:ascii="Times New Roman" w:eastAsia="宋体"/>
          <w:lang w:val="en-US" w:eastAsia="zh-CN"/>
        </w:rPr>
        <w:t>12</w:t>
      </w:r>
      <w:r>
        <w:rPr>
          <w:rFonts w:hint="eastAsia" w:eastAsia="宋体"/>
          <w:lang w:eastAsia="zh-CN"/>
        </w:rPr>
        <w:t>）</w:t>
      </w:r>
      <w:r>
        <w:t>《集中式饮用水水源环境保护指南（试行）》（环办〔2012〕50号）；</w:t>
      </w:r>
    </w:p>
    <w:p w14:paraId="7F603CE2">
      <w:pPr>
        <w:bidi w:val="0"/>
        <w:rPr>
          <w:rFonts w:hint="default"/>
        </w:rPr>
      </w:pPr>
      <w:r>
        <w:rPr>
          <w:rFonts w:hint="eastAsia" w:eastAsia="宋体"/>
          <w:lang w:eastAsia="zh-CN"/>
        </w:rPr>
        <w:t>（</w:t>
      </w:r>
      <w:r>
        <w:rPr>
          <w:rFonts w:hint="eastAsia" w:ascii="Times New Roman" w:eastAsia="宋体"/>
          <w:lang w:val="en-US" w:eastAsia="zh-CN"/>
        </w:rPr>
        <w:t>13</w:t>
      </w:r>
      <w:r>
        <w:rPr>
          <w:rFonts w:hint="eastAsia" w:eastAsia="宋体"/>
          <w:lang w:eastAsia="zh-CN"/>
        </w:rPr>
        <w:t>）</w:t>
      </w:r>
      <w:r>
        <w:rPr>
          <w:rFonts w:hint="default"/>
        </w:rPr>
        <w:t>《湖南省突发事件应急预案管理办法》</w:t>
      </w:r>
      <w:r>
        <w:rPr>
          <w:rFonts w:hint="default"/>
          <w:lang w:eastAsia="zh-CN"/>
        </w:rPr>
        <w:t>湘政办发〔</w:t>
      </w:r>
      <w:r>
        <w:rPr>
          <w:rFonts w:hint="default"/>
          <w:lang w:val="en-US"/>
        </w:rPr>
        <w:t>2014</w:t>
      </w:r>
      <w:r>
        <w:rPr>
          <w:rFonts w:hint="default"/>
          <w:lang w:eastAsia="zh-CN"/>
        </w:rPr>
        <w:t>〕</w:t>
      </w:r>
      <w:r>
        <w:rPr>
          <w:rFonts w:hint="default"/>
          <w:lang w:val="en-US"/>
        </w:rPr>
        <w:t>86</w:t>
      </w:r>
      <w:r>
        <w:rPr>
          <w:rFonts w:hint="default"/>
          <w:lang w:eastAsia="zh-CN"/>
        </w:rPr>
        <w:t>号</w:t>
      </w:r>
      <w:r>
        <w:rPr>
          <w:rFonts w:hint="default"/>
        </w:rPr>
        <w:t>；</w:t>
      </w:r>
    </w:p>
    <w:p w14:paraId="72309FC0">
      <w:pPr>
        <w:bidi w:val="0"/>
        <w:rPr>
          <w:rFonts w:hint="default"/>
        </w:rPr>
      </w:pPr>
      <w:r>
        <w:rPr>
          <w:rFonts w:hint="eastAsia" w:eastAsia="宋体"/>
          <w:lang w:eastAsia="zh-CN"/>
        </w:rPr>
        <w:t>（</w:t>
      </w:r>
      <w:r>
        <w:rPr>
          <w:rFonts w:hint="eastAsia" w:ascii="Times New Roman" w:eastAsia="宋体"/>
          <w:lang w:val="en-US" w:eastAsia="zh-CN"/>
        </w:rPr>
        <w:t>14</w:t>
      </w:r>
      <w:r>
        <w:rPr>
          <w:rFonts w:hint="eastAsia" w:eastAsia="宋体"/>
          <w:lang w:eastAsia="zh-CN"/>
        </w:rPr>
        <w:t>）</w:t>
      </w:r>
      <w:r>
        <w:rPr>
          <w:rFonts w:hint="default"/>
        </w:rPr>
        <w:t>《张家界市突发环境事件应急预案》</w:t>
      </w:r>
      <w:r>
        <w:rPr>
          <w:rFonts w:hint="eastAsia" w:ascii="Times New Roman" w:eastAsia="宋体"/>
          <w:lang w:val="en-US" w:eastAsia="zh-CN"/>
        </w:rPr>
        <w:t>2021年2月</w:t>
      </w:r>
      <w:r>
        <w:rPr>
          <w:rFonts w:hint="default"/>
        </w:rPr>
        <w:t>；</w:t>
      </w:r>
    </w:p>
    <w:p w14:paraId="31DD49DE">
      <w:pPr>
        <w:bidi w:val="0"/>
        <w:rPr>
          <w:rFonts w:hint="default"/>
          <w:lang w:eastAsia="zh-CN"/>
        </w:rPr>
      </w:pPr>
      <w:r>
        <w:rPr>
          <w:rFonts w:hint="eastAsia" w:eastAsia="宋体"/>
          <w:lang w:eastAsia="zh-CN"/>
        </w:rPr>
        <w:t>（</w:t>
      </w:r>
      <w:r>
        <w:rPr>
          <w:rFonts w:hint="eastAsia" w:ascii="Times New Roman" w:eastAsia="宋体"/>
          <w:lang w:val="en-US" w:eastAsia="zh-CN"/>
        </w:rPr>
        <w:t>15</w:t>
      </w:r>
      <w:r>
        <w:rPr>
          <w:rFonts w:hint="eastAsia" w:eastAsia="宋体"/>
          <w:lang w:eastAsia="zh-CN"/>
        </w:rPr>
        <w:t>）</w:t>
      </w:r>
      <w:r>
        <w:rPr>
          <w:rFonts w:hint="default"/>
        </w:rPr>
        <w:t>《张家界市武陵源区突发环境事件应急预案》</w:t>
      </w:r>
      <w:r>
        <w:rPr>
          <w:rFonts w:hint="eastAsia" w:ascii="Times New Roman" w:eastAsia="宋体"/>
          <w:lang w:val="en-US" w:eastAsia="zh-CN"/>
        </w:rPr>
        <w:t>2020年10月</w:t>
      </w:r>
      <w:r>
        <w:rPr>
          <w:rFonts w:hint="default"/>
          <w:lang w:eastAsia="zh-CN"/>
        </w:rPr>
        <w:t>；</w:t>
      </w:r>
    </w:p>
    <w:p w14:paraId="12138EF7">
      <w:pPr>
        <w:bidi w:val="0"/>
        <w:rPr>
          <w:rFonts w:hint="default"/>
        </w:rPr>
      </w:pPr>
      <w:r>
        <w:rPr>
          <w:rFonts w:hint="eastAsia" w:eastAsia="宋体"/>
          <w:lang w:eastAsia="zh-CN"/>
        </w:rPr>
        <w:t>（</w:t>
      </w:r>
      <w:r>
        <w:rPr>
          <w:rFonts w:hint="eastAsia" w:ascii="Times New Roman" w:eastAsia="宋体"/>
          <w:lang w:val="en-US" w:eastAsia="zh-CN"/>
        </w:rPr>
        <w:t>16</w:t>
      </w:r>
      <w:r>
        <w:rPr>
          <w:rFonts w:hint="eastAsia" w:eastAsia="宋体"/>
          <w:lang w:eastAsia="zh-CN"/>
        </w:rPr>
        <w:t>）</w:t>
      </w:r>
      <w:r>
        <w:rPr>
          <w:rFonts w:hint="default"/>
        </w:rPr>
        <w:t>《张家界市武陵源区森林火灾应急预案》</w:t>
      </w:r>
      <w:r>
        <w:rPr>
          <w:rFonts w:hint="eastAsia" w:ascii="Times New Roman" w:eastAsia="宋体"/>
          <w:lang w:val="en-US" w:eastAsia="zh-CN"/>
        </w:rPr>
        <w:t>2022年11月</w:t>
      </w:r>
      <w:r>
        <w:rPr>
          <w:rFonts w:hint="eastAsia" w:eastAsia="宋体"/>
          <w:lang w:eastAsia="zh-CN"/>
        </w:rPr>
        <w:t>；</w:t>
      </w:r>
    </w:p>
    <w:p w14:paraId="3770AFB3">
      <w:pPr>
        <w:bidi w:val="0"/>
        <w:rPr>
          <w:rFonts w:hint="eastAsia"/>
          <w:lang w:eastAsia="zh-CN"/>
        </w:rPr>
      </w:pPr>
      <w:r>
        <w:rPr>
          <w:rFonts w:hint="eastAsia" w:eastAsia="宋体"/>
          <w:lang w:eastAsia="zh-CN"/>
        </w:rPr>
        <w:t>（</w:t>
      </w:r>
      <w:r>
        <w:rPr>
          <w:rFonts w:hint="eastAsia" w:ascii="Times New Roman" w:eastAsia="宋体"/>
          <w:lang w:val="en-US" w:eastAsia="zh-CN"/>
        </w:rPr>
        <w:t>17</w:t>
      </w:r>
      <w:r>
        <w:rPr>
          <w:rFonts w:hint="eastAsia" w:eastAsia="宋体"/>
          <w:lang w:eastAsia="zh-CN"/>
        </w:rPr>
        <w:t>）《突发环境事件应急预案管理暂行办法》〔2010〕113号；</w:t>
      </w:r>
    </w:p>
    <w:p w14:paraId="6B86C3C9">
      <w:pPr>
        <w:bidi w:val="0"/>
        <w:rPr>
          <w:rFonts w:hint="eastAsia" w:eastAsia="宋体"/>
          <w:lang w:val="en-US" w:eastAsia="zh-CN"/>
        </w:rPr>
      </w:pPr>
      <w:r>
        <w:rPr>
          <w:rFonts w:hint="eastAsia" w:eastAsia="宋体"/>
          <w:lang w:eastAsia="zh-CN"/>
        </w:rPr>
        <w:t>（</w:t>
      </w:r>
      <w:r>
        <w:rPr>
          <w:rFonts w:hint="eastAsia" w:ascii="Times New Roman" w:eastAsia="宋体"/>
          <w:lang w:val="en-US" w:eastAsia="zh-CN"/>
        </w:rPr>
        <w:t>18</w:t>
      </w:r>
      <w:r>
        <w:rPr>
          <w:rFonts w:hint="eastAsia" w:eastAsia="宋体"/>
          <w:lang w:eastAsia="zh-CN"/>
        </w:rPr>
        <w:t>）</w:t>
      </w:r>
      <w:r>
        <w:rPr>
          <w:rFonts w:hint="default"/>
        </w:rPr>
        <w:t>《武陵源区</w:t>
      </w:r>
      <w:r>
        <w:rPr>
          <w:rFonts w:hint="eastAsia" w:eastAsia="宋体"/>
          <w:lang w:eastAsia="zh-CN"/>
        </w:rPr>
        <w:t>卸甲峪</w:t>
      </w:r>
      <w:r>
        <w:rPr>
          <w:rFonts w:hint="default"/>
        </w:rPr>
        <w:t>水库饮用水水源保护区划分技术报告》</w:t>
      </w:r>
      <w:r>
        <w:rPr>
          <w:rFonts w:hint="eastAsia" w:ascii="Times New Roman" w:eastAsia="宋体"/>
          <w:lang w:val="en-US" w:eastAsia="zh-CN"/>
        </w:rPr>
        <w:t>2017年10月</w:t>
      </w:r>
      <w:r>
        <w:rPr>
          <w:rFonts w:hint="eastAsia" w:eastAsia="宋体"/>
          <w:lang w:eastAsia="zh-CN"/>
        </w:rPr>
        <w:t>；</w:t>
      </w:r>
    </w:p>
    <w:p w14:paraId="031D836E">
      <w:pPr>
        <w:bidi w:val="0"/>
        <w:rPr>
          <w:rFonts w:hint="eastAsia"/>
          <w:lang w:val="en-US" w:eastAsia="zh-CN"/>
        </w:rPr>
      </w:pPr>
      <w:r>
        <w:rPr>
          <w:rFonts w:hint="eastAsia" w:eastAsia="宋体"/>
          <w:lang w:eastAsia="zh-CN"/>
        </w:rPr>
        <w:t>（</w:t>
      </w:r>
      <w:r>
        <w:rPr>
          <w:rFonts w:hint="eastAsia" w:ascii="Times New Roman" w:eastAsia="宋体"/>
          <w:lang w:val="en-US" w:eastAsia="zh-CN"/>
        </w:rPr>
        <w:t>19</w:t>
      </w:r>
      <w:r>
        <w:rPr>
          <w:rFonts w:hint="eastAsia" w:eastAsia="宋体"/>
          <w:lang w:eastAsia="zh-CN"/>
        </w:rPr>
        <w:t>）《张家界市武陵源区突发事件总体应急预案》</w:t>
      </w:r>
      <w:r>
        <w:rPr>
          <w:rFonts w:hint="eastAsia" w:ascii="Times New Roman" w:eastAsia="宋体"/>
          <w:lang w:val="en-US" w:eastAsia="zh-CN"/>
        </w:rPr>
        <w:t>2017年8月；</w:t>
      </w:r>
    </w:p>
    <w:p w14:paraId="11162B49">
      <w:pPr>
        <w:bidi w:val="0"/>
        <w:rPr>
          <w:rFonts w:hint="eastAsia"/>
          <w:lang w:val="en-US" w:eastAsia="zh-CN"/>
        </w:rPr>
      </w:pPr>
      <w:r>
        <w:rPr>
          <w:rFonts w:hint="eastAsia" w:ascii="Times New Roman" w:eastAsia="宋体"/>
          <w:lang w:val="en-US" w:eastAsia="zh-CN"/>
        </w:rPr>
        <w:t>（20）《张家界市武陵源区防汛抗旱应急预案》2022年6月；</w:t>
      </w:r>
    </w:p>
    <w:p w14:paraId="0DC4454C">
      <w:pPr>
        <w:bidi w:val="0"/>
        <w:rPr>
          <w:rFonts w:hint="eastAsia"/>
          <w:lang w:val="en-US" w:eastAsia="zh-CN"/>
        </w:rPr>
      </w:pPr>
      <w:r>
        <w:rPr>
          <w:rFonts w:hint="eastAsia" w:ascii="Times New Roman" w:eastAsia="宋体"/>
          <w:lang w:val="en-US" w:eastAsia="zh-CN"/>
        </w:rPr>
        <w:t>（21）《武陵源区卸甲峪峪水库饮用水水源地突发环境事件》2019年12月；</w:t>
      </w:r>
    </w:p>
    <w:p w14:paraId="34C44A06">
      <w:pPr>
        <w:bidi w:val="0"/>
        <w:rPr>
          <w:rFonts w:hint="default"/>
          <w:lang w:val="en-US"/>
        </w:rPr>
      </w:pPr>
      <w:r>
        <w:rPr>
          <w:rFonts w:hint="eastAsia" w:eastAsia="宋体"/>
          <w:lang w:eastAsia="zh-CN"/>
        </w:rPr>
        <w:t>（</w:t>
      </w:r>
      <w:r>
        <w:rPr>
          <w:rFonts w:hint="eastAsia" w:ascii="Times New Roman" w:eastAsia="宋体"/>
          <w:lang w:val="en-US" w:eastAsia="zh-CN"/>
        </w:rPr>
        <w:t>22</w:t>
      </w:r>
      <w:r>
        <w:rPr>
          <w:rFonts w:hint="eastAsia" w:eastAsia="宋体"/>
          <w:lang w:eastAsia="zh-CN"/>
        </w:rPr>
        <w:t>）《武陵源区卸甲峪</w:t>
      </w:r>
      <w:r>
        <w:rPr>
          <w:rFonts w:hint="eastAsia"/>
        </w:rPr>
        <w:t>水库集中式饮用水水源保护区划分技术报告</w:t>
      </w:r>
      <w:r>
        <w:rPr>
          <w:rFonts w:hint="eastAsia" w:eastAsia="宋体"/>
          <w:lang w:eastAsia="zh-CN"/>
        </w:rPr>
        <w:t>》</w:t>
      </w:r>
      <w:r>
        <w:rPr>
          <w:rFonts w:hint="eastAsia" w:ascii="Times New Roman" w:eastAsia="宋体"/>
          <w:lang w:val="en-US" w:eastAsia="zh-CN"/>
        </w:rPr>
        <w:t>2017年10月</w:t>
      </w:r>
    </w:p>
    <w:p w14:paraId="5A8C3924">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1" w:name="_Toc20085"/>
      <w:bookmarkStart w:id="22" w:name="_Toc31712"/>
      <w:bookmarkStart w:id="23" w:name="_Toc21651"/>
      <w:bookmarkStart w:id="24" w:name="_Toc20914"/>
      <w:bookmarkStart w:id="25" w:name="_Toc12743"/>
      <w:bookmarkStart w:id="26" w:name="_Toc26338"/>
      <w:bookmarkStart w:id="27" w:name="_Toc8441"/>
      <w:r>
        <w:rPr>
          <w:rFonts w:ascii="Times New Roman" w:hAnsi="Times New Roman" w:eastAsia="宋体" w:cs="Times New Roman"/>
          <w:b/>
          <w:bCs/>
          <w:kern w:val="2"/>
          <w:sz w:val="32"/>
          <w:szCs w:val="32"/>
          <w:lang w:val="en-US" w:eastAsia="zh-CN" w:bidi="ar-SA"/>
        </w:rPr>
        <w:t>1.3</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适用范围</w:t>
      </w:r>
      <w:bookmarkEnd w:id="21"/>
      <w:bookmarkEnd w:id="22"/>
      <w:bookmarkEnd w:id="23"/>
      <w:bookmarkEnd w:id="24"/>
      <w:bookmarkEnd w:id="25"/>
      <w:bookmarkEnd w:id="26"/>
      <w:bookmarkEnd w:id="27"/>
    </w:p>
    <w:p w14:paraId="52C6D152">
      <w:pPr>
        <w:bidi w:val="0"/>
      </w:pPr>
      <w:r>
        <w:t>本预案适用的地域范围包括武陵源区卸甲峪水库整个汇水区域，卸甲峪水库整个汇水范围已全部划定为饮用水源地保护区</w:t>
      </w:r>
      <w:r>
        <w:rPr>
          <w:rFonts w:hint="eastAsia" w:eastAsia="宋体"/>
          <w:lang w:eastAsia="zh-CN"/>
        </w:rPr>
        <w:t>，</w:t>
      </w:r>
      <w:r>
        <w:t>总面积约</w:t>
      </w:r>
      <w:r>
        <w:rPr>
          <w:rFonts w:hint="eastAsia"/>
        </w:rPr>
        <w:t>4.2534</w:t>
      </w:r>
      <w:r>
        <w:t>km</w:t>
      </w:r>
      <w:r>
        <w:rPr>
          <w:rFonts w:hint="eastAsia" w:ascii="Times New Roman" w:eastAsia="宋体"/>
          <w:vertAlign w:val="superscript"/>
          <w:lang w:val="en-US" w:eastAsia="zh-CN"/>
        </w:rPr>
        <w:t>2</w:t>
      </w:r>
      <w:r>
        <w:t>。适用于卸甲峪水库饮用水水源地突发环境事件下的环境应急管理工作。</w:t>
      </w:r>
    </w:p>
    <w:p w14:paraId="2B9896A7">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71135" cy="4230370"/>
            <wp:effectExtent l="0" t="0" r="5715" b="177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0"/>
                    <a:stretch>
                      <a:fillRect/>
                    </a:stretch>
                  </pic:blipFill>
                  <pic:spPr>
                    <a:xfrm>
                      <a:off x="0" y="0"/>
                      <a:ext cx="5271135" cy="4230370"/>
                    </a:xfrm>
                    <a:prstGeom prst="rect">
                      <a:avLst/>
                    </a:prstGeom>
                    <a:noFill/>
                    <a:ln>
                      <a:noFill/>
                    </a:ln>
                  </pic:spPr>
                </pic:pic>
              </a:graphicData>
            </a:graphic>
          </wp:inline>
        </w:drawing>
      </w:r>
    </w:p>
    <w:p w14:paraId="1EDB6074">
      <w:pPr>
        <w:bidi w:val="0"/>
        <w:ind w:left="0" w:leftChars="0" w:firstLine="0" w:firstLineChars="0"/>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图1-1适用范围</w:t>
      </w:r>
    </w:p>
    <w:p w14:paraId="137F0F54">
      <w:pPr>
        <w:bidi w:val="0"/>
      </w:pPr>
      <w:r>
        <w:t>具体指卸甲峪水库饮用水水源地突发环境事件，可能对水源保护区及其周边造成重大水污染事故的情况：</w:t>
      </w:r>
    </w:p>
    <w:p w14:paraId="1CC625D8">
      <w:pPr>
        <w:bidi w:val="0"/>
      </w:pPr>
      <w:r>
        <w:t>（1</w:t>
      </w:r>
      <w:r>
        <w:rPr>
          <w:rFonts w:hint="eastAsia"/>
          <w:lang w:eastAsia="zh-CN"/>
        </w:rPr>
        <w:t>）</w:t>
      </w:r>
      <w:r>
        <w:t>暴雨、洪水等自然灾害的发生使得污染物进入卸甲峪水库水源地造成的水污染事件；</w:t>
      </w:r>
    </w:p>
    <w:p w14:paraId="50724CB0">
      <w:pPr>
        <w:bidi w:val="0"/>
      </w:pPr>
      <w:r>
        <w:t>（2）由于卸甲峪水库水源地水质不符合《地表水环境质量标准》（GB3838-2002）相应的标准引起水质下降的环境事件；</w:t>
      </w:r>
    </w:p>
    <w:p w14:paraId="3E4A8235">
      <w:pPr>
        <w:bidi w:val="0"/>
        <w:rPr>
          <w:rFonts w:hint="eastAsia"/>
          <w:lang w:eastAsia="zh-CN"/>
        </w:rPr>
      </w:pPr>
      <w:r>
        <w:rPr>
          <w:rFonts w:hint="eastAsia" w:eastAsia="宋体"/>
          <w:lang w:eastAsia="zh-CN"/>
        </w:rPr>
        <w:t>（</w:t>
      </w:r>
      <w:r>
        <w:rPr>
          <w:rFonts w:hint="eastAsia" w:ascii="Times New Roman" w:eastAsia="宋体"/>
          <w:lang w:val="en-US" w:eastAsia="zh-CN"/>
        </w:rPr>
        <w:t>3</w:t>
      </w:r>
      <w:r>
        <w:rPr>
          <w:rFonts w:hint="eastAsia" w:eastAsia="宋体"/>
          <w:lang w:eastAsia="zh-CN"/>
        </w:rPr>
        <w:t>）由于水库营养物质超标，因富营养化而导致水库水质恶化的水污染事件；</w:t>
      </w:r>
    </w:p>
    <w:p w14:paraId="3895E4D7">
      <w:pPr>
        <w:bidi w:val="0"/>
      </w:pPr>
      <w:r>
        <w:t>（</w:t>
      </w:r>
      <w:r>
        <w:rPr>
          <w:rFonts w:hint="eastAsia" w:ascii="Times New Roman" w:eastAsia="宋体"/>
          <w:lang w:val="en-US" w:eastAsia="zh-CN"/>
        </w:rPr>
        <w:t>4</w:t>
      </w:r>
      <w:r>
        <w:t>）</w:t>
      </w:r>
      <w:r>
        <w:rPr>
          <w:rFonts w:hint="eastAsia" w:eastAsia="宋体"/>
          <w:lang w:eastAsia="zh-CN"/>
        </w:rPr>
        <w:t>其他</w:t>
      </w:r>
      <w:r>
        <w:t>意外事件造成卸甲峪水库水源地的水污染事故。</w:t>
      </w:r>
    </w:p>
    <w:p w14:paraId="72E56A86">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8" w:name="_Toc27630"/>
      <w:bookmarkStart w:id="29" w:name="_Toc12167"/>
      <w:bookmarkStart w:id="30" w:name="_Toc31138"/>
      <w:bookmarkStart w:id="31" w:name="_Toc26369"/>
      <w:bookmarkStart w:id="32" w:name="_Toc4085"/>
      <w:bookmarkStart w:id="33" w:name="_Toc7873"/>
      <w:bookmarkStart w:id="34" w:name="_Toc8516"/>
      <w:r>
        <w:rPr>
          <w:rFonts w:ascii="Times New Roman" w:hAnsi="Times New Roman" w:eastAsia="宋体" w:cs="Times New Roman"/>
          <w:b/>
          <w:bCs/>
          <w:kern w:val="2"/>
          <w:sz w:val="32"/>
          <w:szCs w:val="32"/>
          <w:lang w:val="en-US" w:eastAsia="zh-CN" w:bidi="ar-SA"/>
        </w:rPr>
        <w:t>1.4</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预案衔接</w:t>
      </w:r>
      <w:bookmarkEnd w:id="28"/>
      <w:bookmarkEnd w:id="29"/>
      <w:bookmarkEnd w:id="30"/>
      <w:bookmarkEnd w:id="31"/>
      <w:bookmarkEnd w:id="32"/>
      <w:bookmarkEnd w:id="33"/>
      <w:bookmarkEnd w:id="34"/>
    </w:p>
    <w:p w14:paraId="064CFDF1">
      <w:pPr>
        <w:bidi w:val="0"/>
      </w:pPr>
      <w:r>
        <w:t>《武陵源区卸甲峪水库集中式饮用水源突发环境事件应急预案》是武陵源区为应对卸甲峪水库饮用水水源地突发环境事件</w:t>
      </w:r>
      <w:r>
        <w:rPr>
          <w:rFonts w:hint="eastAsia" w:eastAsia="宋体"/>
          <w:lang w:eastAsia="zh-CN"/>
        </w:rPr>
        <w:t>制定</w:t>
      </w:r>
      <w:r>
        <w:t>的，是《张家界市武陵源区突发环境事件应急预案》的专项预案，为武陵源区其他突发事件可能引发饮用水水源地突发水环境事件应急响应做参考。</w:t>
      </w:r>
    </w:p>
    <w:p w14:paraId="6E0EFE97">
      <w:pPr>
        <w:bidi w:val="0"/>
      </w:pPr>
      <w:r>
        <w:t>当发生卸甲峪水库集中式饮用水水源地突发环境事件，启动本预案的同时，与《武陵源区突发环境事件应急预案》</w:t>
      </w:r>
      <w:r>
        <w:rPr>
          <w:rFonts w:hint="eastAsia"/>
        </w:rPr>
        <w:t>及</w:t>
      </w:r>
      <w:r>
        <w:t>武陵源</w:t>
      </w:r>
      <w:r>
        <w:rPr>
          <w:rFonts w:hint="eastAsia"/>
          <w:lang w:eastAsia="zh-CN"/>
        </w:rPr>
        <w:t>区农业农村水利局</w:t>
      </w:r>
      <w:r>
        <w:rPr>
          <w:rFonts w:hint="eastAsia" w:eastAsia="宋体"/>
          <w:lang w:eastAsia="zh-CN"/>
        </w:rPr>
        <w:t>、</w:t>
      </w:r>
      <w:r>
        <w:rPr>
          <w:rFonts w:hint="eastAsia"/>
          <w:lang w:eastAsia="zh-CN"/>
        </w:rPr>
        <w:t>区城乡建设和交通运输局</w:t>
      </w:r>
      <w:r>
        <w:rPr>
          <w:rFonts w:hint="eastAsia" w:eastAsia="宋体"/>
          <w:lang w:eastAsia="zh-CN"/>
        </w:rPr>
        <w:t>、</w:t>
      </w:r>
      <w:r>
        <w:t>自来水公司相关环境、调水应急预案同时启动，平行联动。当事件的危害性及影响范围超出武陵源区政府应对能力时，由张家界市政府和市</w:t>
      </w:r>
      <w:r>
        <w:rPr>
          <w:rFonts w:hint="eastAsia"/>
        </w:rPr>
        <w:t>生态环境局</w:t>
      </w:r>
      <w:r>
        <w:t>启动《张家界市突发环境事件应急预案》，统一处置。</w:t>
      </w:r>
    </w:p>
    <w:p w14:paraId="5B6E0C50">
      <w:pPr>
        <w:bidi w:val="0"/>
      </w:pPr>
      <w:r>
        <w:t>发生在卸甲峪水库汇水区域外的突发环境事件，首先启动《武陵源区突发环境事件应急预案》，一旦污染物迁移到卸甲峪水库应急预案适用的地域范围，则启动该应急预案。</w:t>
      </w:r>
    </w:p>
    <w:p w14:paraId="26B801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2"/>
          <w:sz w:val="28"/>
          <w:szCs w:val="28"/>
          <w:lang w:val="en-US" w:eastAsia="zh-CN" w:bidi="ar-SA"/>
        </w:rPr>
      </w:pPr>
      <w:r>
        <w:rPr>
          <w:rFonts w:ascii="Times New Roman" w:hAnsi="Times New Roman" w:eastAsia="宋体" w:cs="Times New Roman"/>
          <w:kern w:val="2"/>
          <w:sz w:val="28"/>
          <w:szCs w:val="28"/>
          <w:lang w:val="en-US" w:eastAsia="zh-CN" w:bidi="ar-SA"/>
        </w:rPr>
        <w:drawing>
          <wp:inline distT="0" distB="0" distL="114300" distR="114300">
            <wp:extent cx="5614035" cy="2865755"/>
            <wp:effectExtent l="0" t="0" r="5715" b="1079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5614035" cy="2865755"/>
                    </a:xfrm>
                    <a:prstGeom prst="rect">
                      <a:avLst/>
                    </a:prstGeom>
                    <a:noFill/>
                    <a:ln>
                      <a:noFill/>
                    </a:ln>
                  </pic:spPr>
                </pic:pic>
              </a:graphicData>
            </a:graphic>
          </wp:inline>
        </w:drawing>
      </w:r>
    </w:p>
    <w:p w14:paraId="639CFC1C">
      <w:pPr>
        <w:bidi w:val="0"/>
        <w:ind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图1-2应急预案衔接图</w:t>
      </w:r>
    </w:p>
    <w:p w14:paraId="7AA353CB">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35" w:name="_Toc7440"/>
      <w:bookmarkStart w:id="36" w:name="_Toc22465"/>
      <w:bookmarkStart w:id="37" w:name="_Toc8688"/>
      <w:bookmarkStart w:id="38" w:name="_Toc32658"/>
      <w:bookmarkStart w:id="39" w:name="_Toc9997"/>
      <w:bookmarkStart w:id="40" w:name="_Toc14112"/>
      <w:bookmarkStart w:id="41" w:name="_Toc2441"/>
      <w:r>
        <w:rPr>
          <w:rFonts w:ascii="Times New Roman" w:hAnsi="Times New Roman" w:eastAsia="宋体" w:cs="Times New Roman"/>
          <w:b/>
          <w:bCs/>
          <w:kern w:val="2"/>
          <w:sz w:val="32"/>
          <w:szCs w:val="32"/>
          <w:lang w:val="en-US" w:eastAsia="zh-CN" w:bidi="ar-SA"/>
        </w:rPr>
        <w:t>1.5</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工作原则</w:t>
      </w:r>
      <w:bookmarkEnd w:id="35"/>
      <w:bookmarkEnd w:id="36"/>
      <w:bookmarkEnd w:id="37"/>
      <w:bookmarkEnd w:id="38"/>
      <w:bookmarkEnd w:id="39"/>
      <w:bookmarkEnd w:id="40"/>
      <w:bookmarkEnd w:id="41"/>
    </w:p>
    <w:p w14:paraId="2347D6E0">
      <w:pPr>
        <w:bidi w:val="0"/>
      </w:pPr>
      <w:r>
        <w:t>（1）以人为本，预防为主。把保障人民群众饮用水安全作为首要任务，最大限度地减少突发环境事件造成的危害；建立环境事件风险防范体系，加强对卸甲峪水库危险源和潜在危险源的监测、监控、预警，提高环境事件防范和处理能力。</w:t>
      </w:r>
    </w:p>
    <w:p w14:paraId="416482F9">
      <w:pPr>
        <w:bidi w:val="0"/>
      </w:pPr>
      <w:r>
        <w:t>（2）统一领导，分级管理。建立政府统一领导、部门分工协作、公众有序参与的环境应急管理体制；根据突发环境事件的范围、性质和危害程度，对应急处置工作实行分级管理。</w:t>
      </w:r>
    </w:p>
    <w:p w14:paraId="0A868051">
      <w:pPr>
        <w:bidi w:val="0"/>
      </w:pPr>
      <w:r>
        <w:t>（3）部门联动，相互增援。完善部门联动机制，充分发挥部门专业优势和专业应急救援力量作用，引导、鼓励实现</w:t>
      </w:r>
      <w:r>
        <w:rPr>
          <w:rFonts w:hint="eastAsia" w:eastAsia="宋体"/>
          <w:lang w:eastAsia="zh-CN"/>
        </w:rPr>
        <w:t>“</w:t>
      </w:r>
      <w:r>
        <w:t>一专多能</w:t>
      </w:r>
      <w:r>
        <w:rPr>
          <w:rFonts w:hint="eastAsia" w:eastAsia="宋体"/>
          <w:lang w:eastAsia="zh-CN"/>
        </w:rPr>
        <w:t>”</w:t>
      </w:r>
      <w:r>
        <w:t>，共同应对饮用水源地突发环境事件。</w:t>
      </w:r>
    </w:p>
    <w:p w14:paraId="11078C5B">
      <w:pPr>
        <w:bidi w:val="0"/>
      </w:pPr>
      <w:r>
        <w:t>（4）平战结合，快速反应。加强环境应急管理人员和应急处置队伍培训，积极开展饮用水源地突发环境事件应急预案演练，掌握第一时间处置突发环境事件技能，全面提高快速反应能力。</w:t>
      </w:r>
    </w:p>
    <w:p w14:paraId="4C65DC57">
      <w:pPr>
        <w:bidi w:val="0"/>
      </w:pPr>
      <w:r>
        <w:t>（5）依靠科学，依法规范。采用先进技术，充分发挥专家作用，重视开展预防和处置饮用水源地突发环境事件的科研和培训，为突发环境事件应急处置提供科技保障。采用先进的应急装备和技术，增强应急反应能力，依法规范应急反应工作，确保应急预案的科学性、权威性和可操作性。</w:t>
      </w:r>
    </w:p>
    <w:p w14:paraId="6B3E0247">
      <w:pPr>
        <w:keepNext/>
        <w:keepLines/>
        <w:widowControl w:val="0"/>
        <w:bidi w:val="0"/>
        <w:spacing w:before="200" w:after="100" w:line="416" w:lineRule="auto"/>
        <w:ind w:firstLine="0" w:firstLineChars="0"/>
        <w:jc w:val="both"/>
        <w:outlineLvl w:val="1"/>
        <w:rPr>
          <w:rFonts w:ascii="Cambria" w:hAnsi="Cambria" w:eastAsia="宋体" w:cs="Times New Roman"/>
          <w:b/>
          <w:bCs/>
          <w:kern w:val="2"/>
          <w:sz w:val="32"/>
          <w:szCs w:val="32"/>
          <w:lang w:val="en-US" w:eastAsia="zh-CN" w:bidi="ar-SA"/>
        </w:rPr>
      </w:pPr>
      <w:bookmarkStart w:id="42" w:name="_Toc24224"/>
      <w:bookmarkStart w:id="43" w:name="_Toc28529"/>
      <w:bookmarkStart w:id="44" w:name="_Toc20057"/>
      <w:bookmarkStart w:id="45" w:name="_Toc1643"/>
      <w:bookmarkStart w:id="46" w:name="_Toc20996"/>
      <w:bookmarkStart w:id="47" w:name="_Toc21576"/>
      <w:bookmarkStart w:id="48" w:name="_Toc16366"/>
      <w:bookmarkStart w:id="49" w:name="_Toc24846"/>
      <w:r>
        <w:rPr>
          <w:rFonts w:hint="eastAsia" w:ascii="Cambria" w:hAnsi="Cambria" w:eastAsia="宋体" w:cs="Times New Roman"/>
          <w:b/>
          <w:bCs/>
          <w:kern w:val="2"/>
          <w:sz w:val="32"/>
          <w:szCs w:val="32"/>
          <w:lang w:val="en-US" w:eastAsia="zh-CN" w:bidi="ar-SA"/>
        </w:rPr>
        <w:t>2</w:t>
      </w:r>
      <w:r>
        <w:rPr>
          <w:rFonts w:ascii="Cambria" w:hAnsi="Cambria" w:eastAsia="宋体" w:cs="Times New Roman"/>
          <w:b/>
          <w:bCs/>
          <w:kern w:val="2"/>
          <w:sz w:val="32"/>
          <w:szCs w:val="32"/>
          <w:lang w:val="en-US" w:eastAsia="zh-CN" w:bidi="ar-SA"/>
        </w:rPr>
        <w:t>、应急组织指挥体系</w:t>
      </w:r>
      <w:bookmarkEnd w:id="42"/>
      <w:bookmarkEnd w:id="43"/>
      <w:bookmarkEnd w:id="44"/>
      <w:bookmarkEnd w:id="45"/>
      <w:bookmarkEnd w:id="46"/>
      <w:bookmarkEnd w:id="47"/>
      <w:bookmarkEnd w:id="48"/>
      <w:bookmarkEnd w:id="49"/>
    </w:p>
    <w:p w14:paraId="17F33411">
      <w:pPr>
        <w:bidi w:val="0"/>
      </w:pPr>
      <w:r>
        <w:t>应急指挥系统是指武陵源区人民政府及其他公共机构在卸甲峪水库饮用水水源地突发事件的事前预防、事发应对、事中处置和善后管理过程中建立的必要的应对机制系统。按照“预防为主、自救为主、统一指挥、分工负责”的原则成立应急领导小组。其成员应来源于以下单位：</w:t>
      </w:r>
      <w:r>
        <w:rPr>
          <w:rFonts w:hint="default"/>
          <w:lang w:eastAsia="zh-CN"/>
        </w:rPr>
        <w:t>区</w:t>
      </w:r>
      <w:r>
        <w:rPr>
          <w:rFonts w:hint="default"/>
        </w:rPr>
        <w:t>应急</w:t>
      </w:r>
      <w:r>
        <w:rPr>
          <w:rFonts w:hint="eastAsia" w:eastAsia="宋体"/>
          <w:lang w:eastAsia="zh-CN"/>
        </w:rPr>
        <w:t>管理局</w:t>
      </w:r>
      <w:r>
        <w:rPr>
          <w:rFonts w:hint="default"/>
        </w:rPr>
        <w:t>、</w:t>
      </w:r>
      <w:r>
        <w:rPr>
          <w:rFonts w:hint="default"/>
          <w:lang w:eastAsia="zh-CN"/>
        </w:rPr>
        <w:t>区</w:t>
      </w:r>
      <w:r>
        <w:rPr>
          <w:rFonts w:hint="default"/>
        </w:rPr>
        <w:t>纪委</w:t>
      </w:r>
      <w:r>
        <w:rPr>
          <w:rFonts w:hint="eastAsia" w:eastAsia="宋体"/>
          <w:lang w:eastAsia="zh-CN"/>
        </w:rPr>
        <w:t>监委</w:t>
      </w:r>
      <w:r>
        <w:rPr>
          <w:rFonts w:hint="default"/>
        </w:rPr>
        <w:t>、</w:t>
      </w:r>
      <w:r>
        <w:rPr>
          <w:rFonts w:hint="eastAsia"/>
          <w:lang w:eastAsia="zh-CN"/>
        </w:rPr>
        <w:t>市公安局武陵源分局</w:t>
      </w:r>
      <w:r>
        <w:rPr>
          <w:rFonts w:hint="default"/>
        </w:rPr>
        <w:t>、</w:t>
      </w:r>
      <w:r>
        <w:rPr>
          <w:rFonts w:hint="default"/>
          <w:lang w:eastAsia="zh-CN"/>
        </w:rPr>
        <w:t>区</w:t>
      </w:r>
      <w:r>
        <w:rPr>
          <w:rFonts w:hint="default"/>
        </w:rPr>
        <w:t>财政局、</w:t>
      </w:r>
      <w:r>
        <w:rPr>
          <w:rFonts w:hint="eastAsia"/>
          <w:lang w:eastAsia="zh-CN"/>
        </w:rPr>
        <w:t>区自然资源和林业局</w:t>
      </w:r>
      <w:r>
        <w:rPr>
          <w:rFonts w:hint="default"/>
        </w:rPr>
        <w:t>、</w:t>
      </w:r>
      <w:r>
        <w:rPr>
          <w:rFonts w:hint="eastAsia" w:eastAsia="宋体"/>
          <w:lang w:eastAsia="zh-CN"/>
        </w:rPr>
        <w:t>市交警支队直属二大队</w:t>
      </w:r>
      <w:r>
        <w:rPr>
          <w:rFonts w:hint="default"/>
        </w:rPr>
        <w:t>、</w:t>
      </w:r>
      <w:r>
        <w:rPr>
          <w:rFonts w:hint="eastAsia"/>
          <w:lang w:eastAsia="zh-CN"/>
        </w:rPr>
        <w:t>区城乡建设和交通运输局</w:t>
      </w:r>
      <w:r>
        <w:rPr>
          <w:rFonts w:hint="default"/>
        </w:rPr>
        <w:t>、</w:t>
      </w:r>
      <w:r>
        <w:rPr>
          <w:rFonts w:hint="eastAsia"/>
          <w:lang w:eastAsia="zh-CN"/>
        </w:rPr>
        <w:t>区农业农村水利局</w:t>
      </w:r>
      <w:r>
        <w:rPr>
          <w:rFonts w:hint="eastAsia" w:eastAsia="宋体"/>
          <w:lang w:eastAsia="zh-CN"/>
        </w:rPr>
        <w:t>、</w:t>
      </w:r>
      <w:r>
        <w:rPr>
          <w:rFonts w:hint="eastAsia"/>
          <w:lang w:eastAsia="zh-CN"/>
        </w:rPr>
        <w:t>区城乡建设和交通运输局</w:t>
      </w:r>
      <w:r>
        <w:rPr>
          <w:rFonts w:hint="eastAsia" w:eastAsia="宋体"/>
          <w:lang w:eastAsia="zh-CN"/>
        </w:rPr>
        <w:t>、区卫生健康局</w:t>
      </w:r>
      <w:r>
        <w:rPr>
          <w:rFonts w:hint="default"/>
        </w:rPr>
        <w:t>、</w:t>
      </w:r>
      <w:r>
        <w:rPr>
          <w:rFonts w:hint="eastAsia"/>
          <w:lang w:eastAsia="zh-CN"/>
        </w:rPr>
        <w:t>区城市管理和综合执法局</w:t>
      </w:r>
      <w:r>
        <w:rPr>
          <w:rFonts w:hint="default"/>
        </w:rPr>
        <w:t>、</w:t>
      </w:r>
      <w:r>
        <w:rPr>
          <w:rFonts w:hint="eastAsia"/>
          <w:lang w:eastAsia="zh-CN"/>
        </w:rPr>
        <w:t>市生态环境局武陵源分局</w:t>
      </w:r>
      <w:r>
        <w:rPr>
          <w:rFonts w:hint="default"/>
        </w:rPr>
        <w:t>、</w:t>
      </w:r>
      <w:r>
        <w:rPr>
          <w:rFonts w:hint="eastAsia" w:eastAsia="宋体"/>
          <w:lang w:eastAsia="zh-CN"/>
        </w:rPr>
        <w:t>区</w:t>
      </w:r>
      <w:r>
        <w:rPr>
          <w:rFonts w:hint="eastAsia" w:ascii="Times New Roman" w:eastAsia="宋体"/>
          <w:lang w:val="en-US" w:eastAsia="zh-CN"/>
        </w:rPr>
        <w:t>融媒体中心</w:t>
      </w:r>
      <w:r>
        <w:rPr>
          <w:rFonts w:hint="default"/>
        </w:rPr>
        <w:t>、</w:t>
      </w:r>
      <w:r>
        <w:rPr>
          <w:rFonts w:hint="eastAsia"/>
          <w:lang w:eastAsia="zh-CN"/>
        </w:rPr>
        <w:t>区民政和人力资源社会保障局</w:t>
      </w:r>
      <w:r>
        <w:rPr>
          <w:rFonts w:hint="eastAsia" w:eastAsia="宋体"/>
          <w:lang w:eastAsia="zh-CN"/>
        </w:rPr>
        <w:t>、</w:t>
      </w:r>
      <w:r>
        <w:rPr>
          <w:rFonts w:hint="eastAsia"/>
          <w:lang w:eastAsia="zh-CN"/>
        </w:rPr>
        <w:t>锣鼓塔水厂</w:t>
      </w:r>
      <w:r>
        <w:rPr>
          <w:rFonts w:hint="eastAsia" w:eastAsia="宋体"/>
          <w:lang w:eastAsia="zh-CN"/>
        </w:rPr>
        <w:t>等</w:t>
      </w:r>
      <w:r>
        <w:t>，各部门相关职责详见表2-1所示。</w:t>
      </w:r>
    </w:p>
    <w:p w14:paraId="33E64F20">
      <w:pPr>
        <w:bidi w:val="0"/>
      </w:pPr>
      <w:r>
        <w:t>应急组织指挥体系包括应急组织指挥机构和应急专项工作组。其中，应急组织指挥机构由总指挥、副总指挥及应急办公室组成；应急专项工作组由应急处置组、应急监测组、应急供水保障组、应急物资保障组、专家咨询组、舆情应对组组成。</w:t>
      </w:r>
    </w:p>
    <w:p w14:paraId="08C3FBB8">
      <w:pPr>
        <w:bidi w:val="0"/>
      </w:pPr>
      <w:r>
        <w:t>除此之外，依据突发环境事件影响程度和应急处置工作的需要，还包括可能的外部应急救援力量。</w:t>
      </w:r>
    </w:p>
    <w:p w14:paraId="40E23269">
      <w:r>
        <w:br w:type="page"/>
      </w:r>
    </w:p>
    <w:p w14:paraId="1E2F32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sz w:val="24"/>
          <w:szCs w:val="24"/>
        </w:rPr>
      </w:pPr>
      <w:bookmarkStart w:id="50" w:name="_Toc523149322"/>
      <w:bookmarkStart w:id="51" w:name="_Toc519177080"/>
      <w:bookmarkStart w:id="52" w:name="_Toc25522_WPSOffice_Level2"/>
      <w:bookmarkStart w:id="53" w:name="_Toc513533942"/>
      <w:r>
        <w:rPr>
          <w:rFonts w:ascii="Times New Roman" w:hAnsi="Times New Roman" w:eastAsia="宋体"/>
          <w:sz w:val="24"/>
          <w:szCs w:val="24"/>
        </w:rPr>
        <w:t>表2-1应急组织指挥机构职责表</w:t>
      </w:r>
      <w:bookmarkEnd w:id="50"/>
      <w:bookmarkEnd w:id="51"/>
      <w:bookmarkEnd w:id="52"/>
      <w:bookmarkEnd w:id="53"/>
    </w:p>
    <w:tbl>
      <w:tblPr>
        <w:tblStyle w:val="18"/>
        <w:tblW w:w="88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
      <w:tblGrid>
        <w:gridCol w:w="690"/>
        <w:gridCol w:w="1110"/>
        <w:gridCol w:w="7005"/>
      </w:tblGrid>
      <w:tr w14:paraId="02FAB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blHeader/>
          <w:jc w:val="center"/>
        </w:trPr>
        <w:tc>
          <w:tcPr>
            <w:tcW w:w="690" w:type="dxa"/>
            <w:tcBorders>
              <w:tl2br w:val="nil"/>
              <w:tr2bl w:val="nil"/>
            </w:tcBorders>
            <w:noWrap w:val="0"/>
            <w:vAlign w:val="center"/>
          </w:tcPr>
          <w:p w14:paraId="69363FBB">
            <w:pPr>
              <w:bidi w:val="0"/>
              <w:spacing w:line="240" w:lineRule="auto"/>
              <w:ind w:left="0" w:leftChars="0" w:firstLine="0" w:firstLineChars="0"/>
              <w:jc w:val="center"/>
              <w:rPr>
                <w:rFonts w:hint="default" w:ascii="宋体" w:hAnsi="宋体" w:eastAsia="宋体" w:cs="宋体"/>
                <w:b/>
                <w:bCs/>
                <w:sz w:val="21"/>
                <w:szCs w:val="21"/>
                <w:lang w:val="en-US" w:eastAsia="zh-CN"/>
              </w:rPr>
            </w:pPr>
            <w:bookmarkStart w:id="54" w:name="_Toc15651"/>
            <w:bookmarkStart w:id="55" w:name="_Toc27907"/>
            <w:r>
              <w:rPr>
                <w:rFonts w:hint="default" w:ascii="宋体" w:hAnsi="宋体" w:eastAsia="宋体" w:cs="宋体"/>
                <w:b/>
                <w:bCs/>
                <w:sz w:val="21"/>
                <w:szCs w:val="21"/>
                <w:lang w:val="en-US" w:eastAsia="zh-CN"/>
              </w:rPr>
              <w:t>序号</w:t>
            </w:r>
          </w:p>
        </w:tc>
        <w:tc>
          <w:tcPr>
            <w:tcW w:w="1110" w:type="dxa"/>
            <w:tcBorders>
              <w:tl2br w:val="nil"/>
              <w:tr2bl w:val="nil"/>
            </w:tcBorders>
            <w:noWrap w:val="0"/>
            <w:vAlign w:val="center"/>
          </w:tcPr>
          <w:p w14:paraId="03B46D61">
            <w:pPr>
              <w:bidi w:val="0"/>
              <w:spacing w:line="240" w:lineRule="auto"/>
              <w:ind w:left="0" w:leftChars="0" w:firstLine="0" w:firstLineChars="0"/>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部门</w:t>
            </w:r>
          </w:p>
        </w:tc>
        <w:tc>
          <w:tcPr>
            <w:tcW w:w="7005" w:type="dxa"/>
            <w:tcBorders>
              <w:tl2br w:val="nil"/>
              <w:tr2bl w:val="nil"/>
            </w:tcBorders>
            <w:noWrap w:val="0"/>
            <w:vAlign w:val="center"/>
          </w:tcPr>
          <w:p w14:paraId="62C7A90E">
            <w:pPr>
              <w:bidi w:val="0"/>
              <w:spacing w:line="240" w:lineRule="auto"/>
              <w:ind w:left="0" w:leftChars="0" w:firstLine="0" w:firstLineChars="0"/>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职责</w:t>
            </w:r>
          </w:p>
        </w:tc>
      </w:tr>
      <w:tr w14:paraId="14632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41495538">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w:t>
            </w:r>
          </w:p>
        </w:tc>
        <w:tc>
          <w:tcPr>
            <w:tcW w:w="1110" w:type="dxa"/>
            <w:tcBorders>
              <w:tl2br w:val="nil"/>
              <w:tr2bl w:val="nil"/>
            </w:tcBorders>
            <w:noWrap w:val="0"/>
            <w:vAlign w:val="center"/>
          </w:tcPr>
          <w:p w14:paraId="3ADBE93C">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区应急管理局</w:t>
            </w:r>
          </w:p>
        </w:tc>
        <w:tc>
          <w:tcPr>
            <w:tcW w:w="7005" w:type="dxa"/>
            <w:tcBorders>
              <w:tl2br w:val="nil"/>
              <w:tr2bl w:val="nil"/>
            </w:tcBorders>
            <w:noWrap w:val="0"/>
            <w:vAlign w:val="center"/>
          </w:tcPr>
          <w:p w14:paraId="42057D8A">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在第一时间进行处理的政府部门，履行值守应急、信息汇总和综合协调职能，发挥运转枢纽作用</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负责重大危险源监控和重大事故隐患排查治理工作，防范因安全事故引发环境污染事件，参与因安全事故引发的突发环境污染事件的应急救援和调查处理</w:t>
            </w:r>
          </w:p>
        </w:tc>
      </w:tr>
      <w:tr w14:paraId="29E7E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38993F09">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2</w:t>
            </w:r>
          </w:p>
        </w:tc>
        <w:tc>
          <w:tcPr>
            <w:tcW w:w="1110" w:type="dxa"/>
            <w:tcBorders>
              <w:tl2br w:val="nil"/>
              <w:tr2bl w:val="nil"/>
            </w:tcBorders>
            <w:noWrap w:val="0"/>
            <w:vAlign w:val="center"/>
          </w:tcPr>
          <w:p w14:paraId="755C66E2">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区纪委监委</w:t>
            </w:r>
          </w:p>
        </w:tc>
        <w:tc>
          <w:tcPr>
            <w:tcW w:w="7005" w:type="dxa"/>
            <w:tcBorders>
              <w:tl2br w:val="nil"/>
              <w:tr2bl w:val="nil"/>
            </w:tcBorders>
            <w:noWrap w:val="0"/>
            <w:vAlign w:val="center"/>
          </w:tcPr>
          <w:p w14:paraId="55927BC6">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参与各监督环节污染事件调查处理，负责环境问题行政责任追究，对责任追究落实情况进行监督检查</w:t>
            </w:r>
          </w:p>
        </w:tc>
      </w:tr>
      <w:tr w14:paraId="317FD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687AA8FF">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w:t>
            </w:r>
          </w:p>
        </w:tc>
        <w:tc>
          <w:tcPr>
            <w:tcW w:w="1110" w:type="dxa"/>
            <w:tcBorders>
              <w:tl2br w:val="nil"/>
              <w:tr2bl w:val="nil"/>
            </w:tcBorders>
            <w:noWrap w:val="0"/>
            <w:vAlign w:val="center"/>
          </w:tcPr>
          <w:p w14:paraId="7A8743A9">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市公安局武陵源分局</w:t>
            </w:r>
          </w:p>
        </w:tc>
        <w:tc>
          <w:tcPr>
            <w:tcW w:w="7005" w:type="dxa"/>
            <w:tcBorders>
              <w:tl2br w:val="nil"/>
              <w:tr2bl w:val="nil"/>
            </w:tcBorders>
            <w:noWrap w:val="0"/>
            <w:vAlign w:val="center"/>
          </w:tcPr>
          <w:p w14:paraId="2179D522">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负责维护事故现场治安秩序，依法查处涉嫌环境刑事犯罪案件和因环境违法需给予拘留等行政处罚的治安管理案件；依法对污染事故责任人</w:t>
            </w:r>
            <w:r>
              <w:rPr>
                <w:rFonts w:hint="eastAsia" w:ascii="宋体" w:hAnsi="宋体" w:eastAsia="宋体" w:cs="宋体"/>
                <w:sz w:val="21"/>
                <w:szCs w:val="21"/>
                <w:lang w:val="en-US" w:eastAsia="zh-CN"/>
              </w:rPr>
              <w:t>作出</w:t>
            </w:r>
            <w:r>
              <w:rPr>
                <w:rFonts w:hint="default" w:ascii="宋体" w:hAnsi="宋体" w:eastAsia="宋体" w:cs="宋体"/>
                <w:sz w:val="21"/>
                <w:szCs w:val="21"/>
                <w:lang w:val="en-US" w:eastAsia="zh-CN"/>
              </w:rPr>
              <w:t>处理。</w:t>
            </w:r>
          </w:p>
        </w:tc>
      </w:tr>
      <w:tr w14:paraId="155AD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7E3BFA20">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w:t>
            </w:r>
          </w:p>
        </w:tc>
        <w:tc>
          <w:tcPr>
            <w:tcW w:w="1110" w:type="dxa"/>
            <w:tcBorders>
              <w:tl2br w:val="nil"/>
              <w:tr2bl w:val="nil"/>
            </w:tcBorders>
            <w:noWrap w:val="0"/>
            <w:vAlign w:val="center"/>
          </w:tcPr>
          <w:p w14:paraId="01D23B0E">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区财政局</w:t>
            </w:r>
          </w:p>
        </w:tc>
        <w:tc>
          <w:tcPr>
            <w:tcW w:w="7005" w:type="dxa"/>
            <w:tcBorders>
              <w:tl2br w:val="nil"/>
              <w:tr2bl w:val="nil"/>
            </w:tcBorders>
            <w:noWrap w:val="0"/>
            <w:vAlign w:val="center"/>
          </w:tcPr>
          <w:p w14:paraId="7348536B">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饮用水水源突发环境事件应急保障经费预算和拨付；负责饮用水水源突发环境事件应急处置资金支付和报销等；根据有关规定安排应急工作所必需的通讯和信息化设备、监测仪器、防护用具、应急交通工具等经费，确保</w:t>
            </w:r>
            <w:r>
              <w:rPr>
                <w:rFonts w:hint="eastAsia" w:ascii="宋体" w:hAnsi="宋体" w:cs="宋体"/>
                <w:sz w:val="21"/>
                <w:szCs w:val="21"/>
                <w:lang w:val="en-US" w:eastAsia="zh-CN"/>
              </w:rPr>
              <w:t>重特大</w:t>
            </w:r>
            <w:r>
              <w:rPr>
                <w:rFonts w:hint="default" w:ascii="宋体" w:hAnsi="宋体" w:eastAsia="宋体" w:cs="宋体"/>
                <w:sz w:val="21"/>
                <w:szCs w:val="21"/>
                <w:lang w:val="en-US" w:eastAsia="zh-CN"/>
              </w:rPr>
              <w:t>涉及饮用水源突发环境事件预防、监测、处置等工作的正常进行，并监督资金的使用</w:t>
            </w:r>
          </w:p>
        </w:tc>
      </w:tr>
      <w:tr w14:paraId="5B13E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5C6B821D">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5</w:t>
            </w:r>
          </w:p>
        </w:tc>
        <w:tc>
          <w:tcPr>
            <w:tcW w:w="1110" w:type="dxa"/>
            <w:tcBorders>
              <w:tl2br w:val="nil"/>
              <w:tr2bl w:val="nil"/>
            </w:tcBorders>
            <w:noWrap w:val="0"/>
            <w:vAlign w:val="center"/>
          </w:tcPr>
          <w:p w14:paraId="37152ABE">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区自然资源和林业局</w:t>
            </w:r>
          </w:p>
        </w:tc>
        <w:tc>
          <w:tcPr>
            <w:tcW w:w="7005" w:type="dxa"/>
            <w:tcBorders>
              <w:tl2br w:val="nil"/>
              <w:tr2bl w:val="nil"/>
            </w:tcBorders>
            <w:noWrap w:val="0"/>
            <w:vAlign w:val="center"/>
          </w:tcPr>
          <w:p w14:paraId="10E5DA6D">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开展地质和生态保护工作，防止矿山地质灾害，配合其他部门进行应急处置工作</w:t>
            </w:r>
            <w:r>
              <w:rPr>
                <w:rFonts w:hint="eastAsia" w:ascii="宋体" w:hAnsi="宋体" w:cs="宋体"/>
                <w:sz w:val="21"/>
                <w:szCs w:val="21"/>
                <w:lang w:val="en-US" w:eastAsia="zh-CN"/>
              </w:rPr>
              <w:t>；</w:t>
            </w:r>
            <w:r>
              <w:rPr>
                <w:rFonts w:hint="default" w:ascii="宋体" w:hAnsi="宋体" w:eastAsia="宋体" w:cs="宋体"/>
                <w:sz w:val="21"/>
                <w:szCs w:val="21"/>
                <w:lang w:val="en-US" w:eastAsia="zh-CN"/>
              </w:rPr>
              <w:t>负责水库、河流周边的生态建设进行监督管理，对突发山体火灾会同有关部门进行火灾原因调查，并对周边植被进行生态恢复</w:t>
            </w:r>
          </w:p>
        </w:tc>
      </w:tr>
      <w:tr w14:paraId="6B208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1634" w:hRule="atLeast"/>
          <w:jc w:val="center"/>
        </w:trPr>
        <w:tc>
          <w:tcPr>
            <w:tcW w:w="690" w:type="dxa"/>
            <w:tcBorders>
              <w:tl2br w:val="nil"/>
              <w:tr2bl w:val="nil"/>
            </w:tcBorders>
            <w:noWrap w:val="0"/>
            <w:vAlign w:val="center"/>
          </w:tcPr>
          <w:p w14:paraId="63BA63D5">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w:t>
            </w:r>
          </w:p>
        </w:tc>
        <w:tc>
          <w:tcPr>
            <w:tcW w:w="1110" w:type="dxa"/>
            <w:tcBorders>
              <w:tl2br w:val="nil"/>
              <w:tr2bl w:val="nil"/>
            </w:tcBorders>
            <w:noWrap w:val="0"/>
            <w:vAlign w:val="center"/>
          </w:tcPr>
          <w:p w14:paraId="6D2FFB5E">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市交警支队直属二大队、</w:t>
            </w:r>
            <w:r>
              <w:rPr>
                <w:rFonts w:hint="eastAsia" w:ascii="宋体" w:hAnsi="宋体" w:cs="宋体"/>
                <w:sz w:val="21"/>
                <w:szCs w:val="21"/>
                <w:lang w:val="en-US" w:eastAsia="zh-CN"/>
              </w:rPr>
              <w:t>区城乡建设和交通运输局</w:t>
            </w:r>
          </w:p>
        </w:tc>
        <w:tc>
          <w:tcPr>
            <w:tcW w:w="7005" w:type="dxa"/>
            <w:tcBorders>
              <w:tl2br w:val="nil"/>
              <w:tr2bl w:val="nil"/>
            </w:tcBorders>
            <w:noWrap w:val="0"/>
            <w:vAlign w:val="center"/>
          </w:tcPr>
          <w:p w14:paraId="4FDEBAB7">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负责保障便捷畅通的应急交通运输渠道，组织提供群众紧急疏散的交通工具、确保应急人员和物资迅速到达。协助处置交通事故导致的饮用水水源突发环境事件，并在事故发生后，确保应急物资运输车辆快速通行</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协助交通应急管制工作，协助调度应急通告路线和应急车辆保障，保证各类交通运输工具在应急行动时优先运送应急物资和人员转移疏散。</w:t>
            </w:r>
          </w:p>
        </w:tc>
      </w:tr>
      <w:tr w14:paraId="10C70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0B50A471">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110" w:type="dxa"/>
            <w:tcBorders>
              <w:tl2br w:val="nil"/>
              <w:tr2bl w:val="nil"/>
            </w:tcBorders>
            <w:noWrap w:val="0"/>
            <w:vAlign w:val="center"/>
          </w:tcPr>
          <w:p w14:paraId="395B1FBB">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区农业农村水利局</w:t>
            </w:r>
          </w:p>
        </w:tc>
        <w:tc>
          <w:tcPr>
            <w:tcW w:w="7005" w:type="dxa"/>
            <w:tcBorders>
              <w:tl2br w:val="nil"/>
              <w:tr2bl w:val="nil"/>
            </w:tcBorders>
            <w:noWrap w:val="0"/>
            <w:vAlign w:val="center"/>
          </w:tcPr>
          <w:p w14:paraId="136641A7">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拟定水资源保护规划，划定水功能区，负责集中式饮用水源保护工作，水厂建设及饮用水安全，依法开展水功能区水质监测，加强水厂监管，保障出水水质；对突发水环境事件进行应急处置及应急监测</w:t>
            </w:r>
            <w:r>
              <w:rPr>
                <w:rFonts w:hint="eastAsia" w:ascii="宋体" w:hAnsi="宋体" w:cs="宋体"/>
                <w:sz w:val="21"/>
                <w:szCs w:val="21"/>
                <w:lang w:val="en-US" w:eastAsia="zh-CN"/>
              </w:rPr>
              <w:t>；</w:t>
            </w:r>
            <w:r>
              <w:rPr>
                <w:rFonts w:hint="default" w:ascii="宋体" w:hAnsi="宋体" w:eastAsia="宋体" w:cs="宋体"/>
                <w:sz w:val="21"/>
                <w:szCs w:val="21"/>
                <w:lang w:val="en-US" w:eastAsia="zh-CN"/>
              </w:rPr>
              <w:t>在事故影响状态下，停止饮用水水源内农灌水取用，会同</w:t>
            </w:r>
            <w:r>
              <w:rPr>
                <w:rFonts w:hint="eastAsia" w:ascii="宋体" w:hAnsi="宋体" w:cs="宋体"/>
                <w:sz w:val="21"/>
                <w:szCs w:val="21"/>
                <w:lang w:val="en-US" w:eastAsia="zh-CN"/>
              </w:rPr>
              <w:t>市生态环境局武陵源分局</w:t>
            </w:r>
            <w:r>
              <w:rPr>
                <w:rFonts w:hint="default" w:ascii="宋体" w:hAnsi="宋体" w:eastAsia="宋体" w:cs="宋体"/>
                <w:sz w:val="21"/>
                <w:szCs w:val="21"/>
                <w:lang w:val="en-US" w:eastAsia="zh-CN"/>
              </w:rPr>
              <w:t>共同管理本行政区域内土壤、耕地等基本地理信息数据</w:t>
            </w:r>
            <w:r>
              <w:rPr>
                <w:rFonts w:hint="eastAsia" w:ascii="宋体" w:hAnsi="宋体" w:cs="宋体"/>
                <w:sz w:val="21"/>
                <w:szCs w:val="21"/>
                <w:lang w:val="en-US" w:eastAsia="zh-CN"/>
              </w:rPr>
              <w:t>；</w:t>
            </w:r>
            <w:r>
              <w:rPr>
                <w:rFonts w:hint="default" w:ascii="宋体" w:hAnsi="宋体" w:eastAsia="宋体" w:cs="宋体"/>
                <w:sz w:val="21"/>
                <w:szCs w:val="21"/>
                <w:lang w:val="en-US" w:eastAsia="zh-CN"/>
              </w:rPr>
              <w:t>负责</w:t>
            </w:r>
            <w:r>
              <w:rPr>
                <w:rFonts w:hint="eastAsia" w:ascii="宋体" w:hAnsi="宋体" w:cs="宋体"/>
                <w:sz w:val="21"/>
                <w:szCs w:val="21"/>
                <w:lang w:val="en-US" w:eastAsia="zh-CN"/>
              </w:rPr>
              <w:t>水源地</w:t>
            </w:r>
            <w:r>
              <w:rPr>
                <w:rFonts w:hint="default" w:ascii="宋体" w:hAnsi="宋体" w:eastAsia="宋体" w:cs="宋体"/>
                <w:sz w:val="21"/>
                <w:szCs w:val="21"/>
                <w:lang w:val="en-US" w:eastAsia="zh-CN"/>
              </w:rPr>
              <w:t>畜禽养殖的污染治理，负责病死动物无害化处理、渔业污染事故处理</w:t>
            </w:r>
            <w:r>
              <w:rPr>
                <w:rFonts w:hint="eastAsia" w:ascii="宋体" w:hAnsi="宋体" w:cs="宋体"/>
                <w:sz w:val="21"/>
                <w:szCs w:val="21"/>
                <w:lang w:val="en-US" w:eastAsia="zh-CN"/>
              </w:rPr>
              <w:t>。</w:t>
            </w:r>
          </w:p>
        </w:tc>
      </w:tr>
      <w:tr w14:paraId="1B16B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394A24AD">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110" w:type="dxa"/>
            <w:tcBorders>
              <w:tl2br w:val="nil"/>
              <w:tr2bl w:val="nil"/>
            </w:tcBorders>
            <w:noWrap w:val="0"/>
            <w:vAlign w:val="center"/>
          </w:tcPr>
          <w:p w14:paraId="3D97CCE0">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区民政和人力资源社会保障局</w:t>
            </w:r>
          </w:p>
        </w:tc>
        <w:tc>
          <w:tcPr>
            <w:tcW w:w="7005" w:type="dxa"/>
            <w:tcBorders>
              <w:tl2br w:val="nil"/>
              <w:tr2bl w:val="nil"/>
            </w:tcBorders>
            <w:noWrap w:val="0"/>
            <w:vAlign w:val="center"/>
          </w:tcPr>
          <w:p w14:paraId="62BD1F0B">
            <w:pPr>
              <w:bidi w:val="0"/>
              <w:spacing w:line="240" w:lineRule="auto"/>
              <w:ind w:left="0" w:leftChars="0" w:firstLine="420" w:firstLineChars="20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负责根据事故危害和受损害程度，做好符合救援条件的困难群众的生活救助工作；</w:t>
            </w:r>
          </w:p>
        </w:tc>
      </w:tr>
      <w:tr w14:paraId="0A5BF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5EB00DE5">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110" w:type="dxa"/>
            <w:tcBorders>
              <w:tl2br w:val="nil"/>
              <w:tr2bl w:val="nil"/>
            </w:tcBorders>
            <w:noWrap w:val="0"/>
            <w:vAlign w:val="center"/>
          </w:tcPr>
          <w:p w14:paraId="2C9900BC">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区机关事务服务中心</w:t>
            </w:r>
          </w:p>
        </w:tc>
        <w:tc>
          <w:tcPr>
            <w:tcW w:w="7005" w:type="dxa"/>
            <w:tcBorders>
              <w:tl2br w:val="nil"/>
              <w:tr2bl w:val="nil"/>
            </w:tcBorders>
            <w:noWrap w:val="0"/>
            <w:vAlign w:val="center"/>
          </w:tcPr>
          <w:p w14:paraId="608947B2">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负责在突发环境事件下公务用车单位车辆的集中管理和使用调配工作</w:t>
            </w:r>
          </w:p>
        </w:tc>
      </w:tr>
      <w:tr w14:paraId="6F085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71331E07">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10</w:t>
            </w:r>
          </w:p>
        </w:tc>
        <w:tc>
          <w:tcPr>
            <w:tcW w:w="1110" w:type="dxa"/>
            <w:tcBorders>
              <w:tl2br w:val="nil"/>
              <w:tr2bl w:val="nil"/>
            </w:tcBorders>
            <w:noWrap w:val="0"/>
            <w:vAlign w:val="center"/>
          </w:tcPr>
          <w:p w14:paraId="7D33D344">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区卫生健康局</w:t>
            </w:r>
          </w:p>
        </w:tc>
        <w:tc>
          <w:tcPr>
            <w:tcW w:w="7005" w:type="dxa"/>
            <w:tcBorders>
              <w:tl2br w:val="nil"/>
              <w:tr2bl w:val="nil"/>
            </w:tcBorders>
            <w:noWrap w:val="0"/>
            <w:vAlign w:val="center"/>
          </w:tcPr>
          <w:p w14:paraId="799F8CD5">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对自来水厂出厂饮用水进行卫生监督检查，负责组织协调</w:t>
            </w:r>
            <w:r>
              <w:rPr>
                <w:rFonts w:hint="eastAsia" w:ascii="宋体" w:hAnsi="宋体" w:cs="宋体"/>
                <w:sz w:val="21"/>
                <w:szCs w:val="21"/>
                <w:lang w:val="en-US" w:eastAsia="zh-CN"/>
              </w:rPr>
              <w:t>重特大</w:t>
            </w:r>
            <w:r>
              <w:rPr>
                <w:rFonts w:hint="default" w:ascii="宋体" w:hAnsi="宋体" w:eastAsia="宋体" w:cs="宋体"/>
                <w:sz w:val="21"/>
                <w:szCs w:val="21"/>
                <w:lang w:val="en-US" w:eastAsia="zh-CN"/>
              </w:rPr>
              <w:t>涉及饮用水源突发环境事件的应急医疗卫生救援工作，并及时为地方卫生部门提供技术支持，开展环境与健康检查、调查和风险评估环境质量对公众健康影响的研究，预防和控制因环境污染引发的疾病</w:t>
            </w:r>
          </w:p>
        </w:tc>
      </w:tr>
      <w:tr w14:paraId="04361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585CDB0F">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11</w:t>
            </w:r>
          </w:p>
        </w:tc>
        <w:tc>
          <w:tcPr>
            <w:tcW w:w="1110" w:type="dxa"/>
            <w:tcBorders>
              <w:tl2br w:val="nil"/>
              <w:tr2bl w:val="nil"/>
            </w:tcBorders>
            <w:noWrap w:val="0"/>
            <w:vAlign w:val="center"/>
          </w:tcPr>
          <w:p w14:paraId="01E14FE3">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区城市管理和综合执法局</w:t>
            </w:r>
          </w:p>
        </w:tc>
        <w:tc>
          <w:tcPr>
            <w:tcW w:w="7005" w:type="dxa"/>
            <w:tcBorders>
              <w:tl2br w:val="nil"/>
              <w:tr2bl w:val="nil"/>
            </w:tcBorders>
            <w:noWrap w:val="0"/>
            <w:vAlign w:val="center"/>
          </w:tcPr>
          <w:p w14:paraId="177B0746">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负责协调和指导供水部门做好涉及饮用水源重、特大突发环境事件的相关工作，确保城市供水正常运行</w:t>
            </w:r>
          </w:p>
        </w:tc>
      </w:tr>
      <w:tr w14:paraId="05EC5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556052C3">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12</w:t>
            </w:r>
          </w:p>
        </w:tc>
        <w:tc>
          <w:tcPr>
            <w:tcW w:w="1110" w:type="dxa"/>
            <w:tcBorders>
              <w:tl2br w:val="nil"/>
              <w:tr2bl w:val="nil"/>
            </w:tcBorders>
            <w:noWrap w:val="0"/>
            <w:vAlign w:val="center"/>
          </w:tcPr>
          <w:p w14:paraId="2D3CEE6D">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市生态环境局武陵源分局</w:t>
            </w:r>
          </w:p>
        </w:tc>
        <w:tc>
          <w:tcPr>
            <w:tcW w:w="7005" w:type="dxa"/>
            <w:tcBorders>
              <w:tl2br w:val="nil"/>
              <w:tr2bl w:val="nil"/>
            </w:tcBorders>
            <w:noWrap w:val="0"/>
            <w:vAlign w:val="center"/>
          </w:tcPr>
          <w:p w14:paraId="5C566DD3">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进行应急监测及水源地污染物削减相关设备和样品购置、日常维护及管理；负责组织突发环境污染事故应急处理；协同相关部门分析污染事故原因，判明污染物，提出处理意见，防止污染扩大；结合专家组意见对环境污染事故的性质、等级和危害做出恰当的认定，负责跟踪污染动态情况，对建立和解除污染警报的时间、区域提出建议；对环境恢复、生态修复提出整改措施。</w:t>
            </w:r>
          </w:p>
        </w:tc>
      </w:tr>
      <w:tr w14:paraId="2D8A6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6F969A67">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13</w:t>
            </w:r>
          </w:p>
        </w:tc>
        <w:tc>
          <w:tcPr>
            <w:tcW w:w="1110" w:type="dxa"/>
            <w:tcBorders>
              <w:tl2br w:val="nil"/>
              <w:tr2bl w:val="nil"/>
            </w:tcBorders>
            <w:noWrap w:val="0"/>
            <w:vAlign w:val="center"/>
          </w:tcPr>
          <w:p w14:paraId="4C4AED5B">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区融媒体中心</w:t>
            </w:r>
            <w:r>
              <w:rPr>
                <w:rFonts w:hint="default" w:ascii="宋体" w:hAnsi="宋体" w:eastAsia="宋体" w:cs="宋体"/>
                <w:sz w:val="21"/>
                <w:szCs w:val="21"/>
                <w:lang w:val="en-US" w:eastAsia="zh-CN"/>
              </w:rPr>
              <w:t>、中国移动、中国联通、区电视台等</w:t>
            </w:r>
          </w:p>
        </w:tc>
        <w:tc>
          <w:tcPr>
            <w:tcW w:w="7005" w:type="dxa"/>
            <w:tcBorders>
              <w:tl2br w:val="nil"/>
              <w:tr2bl w:val="nil"/>
            </w:tcBorders>
            <w:noWrap w:val="0"/>
            <w:vAlign w:val="center"/>
          </w:tcPr>
          <w:p w14:paraId="0F7B6837">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区融媒体中心</w:t>
            </w:r>
            <w:r>
              <w:rPr>
                <w:rFonts w:hint="default" w:ascii="宋体" w:hAnsi="宋体" w:eastAsia="宋体" w:cs="宋体"/>
                <w:sz w:val="21"/>
                <w:szCs w:val="21"/>
                <w:lang w:val="en-US" w:eastAsia="zh-CN"/>
              </w:rPr>
              <w:t>组织引导媒体在突发环境事件下的信息发布、通报等工作。</w:t>
            </w:r>
          </w:p>
          <w:p w14:paraId="63F4B493">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中国移动、中国联通负责保障事故应急响应过程中通信工作，保障信息传递的及时</w:t>
            </w:r>
            <w:r>
              <w:rPr>
                <w:rFonts w:hint="eastAsia" w:ascii="宋体" w:hAnsi="宋体" w:cs="宋体"/>
                <w:sz w:val="21"/>
                <w:szCs w:val="21"/>
                <w:lang w:val="en-US" w:eastAsia="zh-CN"/>
              </w:rPr>
              <w:t>。</w:t>
            </w:r>
          </w:p>
          <w:p w14:paraId="39A187DF">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区电视台及媒体负责信息发布、通报和公开等</w:t>
            </w:r>
          </w:p>
        </w:tc>
      </w:tr>
      <w:tr w14:paraId="512CC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52782972">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4</w:t>
            </w:r>
          </w:p>
        </w:tc>
        <w:tc>
          <w:tcPr>
            <w:tcW w:w="1110" w:type="dxa"/>
            <w:tcBorders>
              <w:tl2br w:val="nil"/>
              <w:tr2bl w:val="nil"/>
            </w:tcBorders>
            <w:noWrap w:val="0"/>
            <w:vAlign w:val="center"/>
          </w:tcPr>
          <w:p w14:paraId="7A3A2219">
            <w:pPr>
              <w:bidi w:val="0"/>
              <w:spacing w:line="24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气象监测部门</w:t>
            </w:r>
          </w:p>
        </w:tc>
        <w:tc>
          <w:tcPr>
            <w:tcW w:w="7005" w:type="dxa"/>
            <w:tcBorders>
              <w:tl2br w:val="nil"/>
              <w:tr2bl w:val="nil"/>
            </w:tcBorders>
            <w:noWrap w:val="0"/>
            <w:vAlign w:val="center"/>
          </w:tcPr>
          <w:p w14:paraId="617329AF">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及时上报、通报和发布暴雨、洪水等气象信息；负责及时做好突发污染事故现场抢救气象信息提供、发布等工作，负责事故状态下饮用水水源地内气象等信息共享</w:t>
            </w:r>
          </w:p>
        </w:tc>
      </w:tr>
      <w:tr w14:paraId="41A90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jc w:val="center"/>
        </w:trPr>
        <w:tc>
          <w:tcPr>
            <w:tcW w:w="690" w:type="dxa"/>
            <w:tcBorders>
              <w:tl2br w:val="nil"/>
              <w:tr2bl w:val="nil"/>
            </w:tcBorders>
            <w:noWrap w:val="0"/>
            <w:vAlign w:val="center"/>
          </w:tcPr>
          <w:p w14:paraId="3ADA308E">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110" w:type="dxa"/>
            <w:tcBorders>
              <w:tl2br w:val="nil"/>
              <w:tr2bl w:val="nil"/>
            </w:tcBorders>
            <w:noWrap w:val="0"/>
            <w:vAlign w:val="center"/>
          </w:tcPr>
          <w:p w14:paraId="686EAD28">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锣鼓塔水厂</w:t>
            </w:r>
          </w:p>
        </w:tc>
        <w:tc>
          <w:tcPr>
            <w:tcW w:w="7005" w:type="dxa"/>
            <w:tcBorders>
              <w:tl2br w:val="nil"/>
              <w:tr2bl w:val="nil"/>
            </w:tcBorders>
            <w:noWrap w:val="0"/>
            <w:vAlign w:val="center"/>
          </w:tcPr>
          <w:p w14:paraId="2D287E33">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水厂日常管理工作，对水厂水质异常现象进行调查、处理，及时上报及通报水厂水质异常信息。负责应急响应过程中的水厂应对工作，执行水厂停止取水、启动深度处理设施和切换备用水源等应急工作安排。进行水厂水应急监测。负责调度和保障涉及饮用水源突发环境事件发生地的群众饮用水供应工作，制定水体污染后应急处置措施，保障人民饮用水的安全。</w:t>
            </w:r>
          </w:p>
          <w:p w14:paraId="6F95823A">
            <w:pPr>
              <w:bidi w:val="0"/>
              <w:spacing w:line="240" w:lineRule="auto"/>
              <w:ind w:left="0" w:leftChars="0" w:firstLine="420" w:firstLineChars="200"/>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负责饮用水水源地突发环境事件的先期处置，并在应急指挥部的统一领导下，协助相关部门做好事故现场处置工作；协助调集应急物资，负责协调解决事故应急处置所需当地的人员、设备、车辆、物资等。</w:t>
            </w:r>
          </w:p>
        </w:tc>
      </w:tr>
    </w:tbl>
    <w:p w14:paraId="147DD723">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56" w:name="_Toc4458"/>
      <w:bookmarkStart w:id="57" w:name="_Toc32734"/>
      <w:bookmarkStart w:id="58" w:name="_Toc25943"/>
      <w:bookmarkStart w:id="59" w:name="_Toc16995"/>
      <w:bookmarkStart w:id="60" w:name="_Toc24979"/>
      <w:r>
        <w:rPr>
          <w:rFonts w:ascii="Times New Roman" w:hAnsi="Times New Roman" w:eastAsia="宋体" w:cs="Times New Roman"/>
          <w:b/>
          <w:bCs/>
          <w:kern w:val="2"/>
          <w:sz w:val="32"/>
          <w:szCs w:val="32"/>
          <w:lang w:val="en-US" w:eastAsia="zh-CN" w:bidi="ar-SA"/>
        </w:rPr>
        <w:t>2.1</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应急组织指挥机构</w:t>
      </w:r>
      <w:bookmarkEnd w:id="54"/>
      <w:bookmarkEnd w:id="55"/>
      <w:bookmarkEnd w:id="56"/>
      <w:bookmarkEnd w:id="57"/>
      <w:bookmarkEnd w:id="58"/>
      <w:bookmarkEnd w:id="59"/>
      <w:bookmarkEnd w:id="60"/>
    </w:p>
    <w:p w14:paraId="4AB620B5">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61" w:name="_Toc518915824"/>
      <w:bookmarkStart w:id="62" w:name="_Toc519064138"/>
      <w:bookmarkStart w:id="63" w:name="_Toc519066672"/>
      <w:r>
        <w:rPr>
          <w:rFonts w:ascii="Cambria" w:hAnsi="Cambria" w:eastAsia="宋体" w:cs="Times New Roman"/>
          <w:b/>
          <w:bCs/>
          <w:kern w:val="2"/>
          <w:sz w:val="28"/>
          <w:szCs w:val="28"/>
          <w:lang w:val="en-US" w:eastAsia="zh-CN" w:bidi="ar-SA"/>
        </w:rPr>
        <w:t>2.1.1</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应急总指挥</w:t>
      </w:r>
      <w:bookmarkEnd w:id="61"/>
      <w:bookmarkEnd w:id="62"/>
      <w:bookmarkEnd w:id="63"/>
    </w:p>
    <w:p w14:paraId="5759FC6D">
      <w:pPr>
        <w:bidi w:val="0"/>
      </w:pPr>
      <w:r>
        <w:t>应急总指挥为应对武陵源区卸甲峪水库饮用水水源地突发环境事件的总指挥，由武陵源区</w:t>
      </w:r>
      <w:r>
        <w:rPr>
          <w:rFonts w:hint="eastAsia" w:eastAsia="宋体"/>
          <w:lang w:eastAsia="zh-CN"/>
        </w:rPr>
        <w:t>副区长</w:t>
      </w:r>
      <w:r>
        <w:t>兼任。</w:t>
      </w:r>
    </w:p>
    <w:p w14:paraId="7DE54B6C">
      <w:pPr>
        <w:bidi w:val="0"/>
      </w:pPr>
      <w:r>
        <w:t>其日常职责为：</w:t>
      </w:r>
    </w:p>
    <w:p w14:paraId="13244F16">
      <w:pPr>
        <w:bidi w:val="0"/>
      </w:pPr>
      <w:r>
        <w:t>（1）贯彻执行国家、当地人民政府及有关部门关于水源地突发环境事件的各项要求；</w:t>
      </w:r>
    </w:p>
    <w:p w14:paraId="29845E3D">
      <w:pPr>
        <w:bidi w:val="0"/>
      </w:pPr>
      <w:r>
        <w:t>（2）组织编制、修订和批准水源地应急预案；</w:t>
      </w:r>
    </w:p>
    <w:p w14:paraId="5EA1EAB7">
      <w:pPr>
        <w:bidi w:val="0"/>
      </w:pPr>
      <w:r>
        <w:t>（3）指导加强水源地突发环境事件应急管理体系建设；</w:t>
      </w:r>
    </w:p>
    <w:p w14:paraId="3228DF14">
      <w:pPr>
        <w:bidi w:val="0"/>
      </w:pPr>
      <w:r>
        <w:t>（4）协调保障水源地突发环境事件应急管理工作经费。</w:t>
      </w:r>
    </w:p>
    <w:p w14:paraId="671FDA57">
      <w:pPr>
        <w:bidi w:val="0"/>
      </w:pPr>
      <w:r>
        <w:t>应急职责为：</w:t>
      </w:r>
    </w:p>
    <w:p w14:paraId="103DDCF9">
      <w:pPr>
        <w:bidi w:val="0"/>
      </w:pPr>
      <w:r>
        <w:t>（1）发生水源地突发环境事件时，亲自（或委托副总指挥）赶赴现场进行指挥，组织开展现场应急处置；</w:t>
      </w:r>
    </w:p>
    <w:p w14:paraId="15C3DF04">
      <w:pPr>
        <w:bidi w:val="0"/>
      </w:pPr>
      <w:r>
        <w:t>（2）贯彻执行当地或上级人民政府有关部门的应急指令；</w:t>
      </w:r>
    </w:p>
    <w:p w14:paraId="7C9F6124">
      <w:pPr>
        <w:bidi w:val="0"/>
      </w:pPr>
      <w:r>
        <w:t>（3）按照预警、应急启动或终止条件，决定预案的启动或终止；</w:t>
      </w:r>
    </w:p>
    <w:p w14:paraId="5207D5BC">
      <w:pPr>
        <w:bidi w:val="0"/>
      </w:pPr>
      <w:r>
        <w:t>（4）研判突发环境事件发展态势，组织制定并批准现场处置方案；</w:t>
      </w:r>
    </w:p>
    <w:p w14:paraId="0CA8CD7E">
      <w:pPr>
        <w:bidi w:val="0"/>
      </w:pPr>
      <w:r>
        <w:t>（5）组织开展损害评估等后期工作。</w:t>
      </w:r>
    </w:p>
    <w:p w14:paraId="3BFD6EAB">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64" w:name="_Toc518915825"/>
      <w:bookmarkStart w:id="65" w:name="_Toc519066673"/>
      <w:bookmarkStart w:id="66" w:name="_Toc519064139"/>
      <w:r>
        <w:rPr>
          <w:rFonts w:ascii="Cambria" w:hAnsi="Cambria" w:eastAsia="宋体" w:cs="Times New Roman"/>
          <w:b/>
          <w:bCs/>
          <w:kern w:val="2"/>
          <w:sz w:val="28"/>
          <w:szCs w:val="28"/>
          <w:lang w:val="en-US" w:eastAsia="zh-CN" w:bidi="ar-SA"/>
        </w:rPr>
        <w:t>2.1.2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应急副总指挥</w:t>
      </w:r>
      <w:bookmarkEnd w:id="64"/>
      <w:bookmarkEnd w:id="65"/>
      <w:bookmarkEnd w:id="66"/>
    </w:p>
    <w:p w14:paraId="48E3323A">
      <w:pPr>
        <w:bidi w:val="0"/>
      </w:pPr>
      <w:r>
        <w:t>应急副指挥为应对武陵源区卸甲峪水库饮用水水源地突发环境事件的副指挥，由</w:t>
      </w:r>
      <w:r>
        <w:rPr>
          <w:rFonts w:hint="eastAsia" w:ascii="Times New Roman" w:eastAsia="宋体"/>
          <w:lang w:val="en-US" w:eastAsia="zh-CN"/>
        </w:rPr>
        <w:t>区应急管理局局长与</w:t>
      </w:r>
      <w:r>
        <w:rPr>
          <w:rFonts w:hint="eastAsia"/>
          <w:lang w:val="en-US" w:eastAsia="zh-CN"/>
        </w:rPr>
        <w:t>市生态环境局武陵源分局</w:t>
      </w:r>
      <w:r>
        <w:rPr>
          <w:rFonts w:hint="eastAsia" w:ascii="Times New Roman" w:eastAsia="宋体"/>
          <w:lang w:val="en-US" w:eastAsia="zh-CN"/>
        </w:rPr>
        <w:t>局长同时担任</w:t>
      </w:r>
      <w:r>
        <w:t>。</w:t>
      </w:r>
    </w:p>
    <w:p w14:paraId="56DF132D">
      <w:pPr>
        <w:bidi w:val="0"/>
      </w:pPr>
      <w:r>
        <w:t>其日常职责为：</w:t>
      </w:r>
    </w:p>
    <w:p w14:paraId="4313206D">
      <w:pPr>
        <w:bidi w:val="0"/>
      </w:pPr>
      <w:r>
        <w:t>（1）协助总指挥开展有关工作；</w:t>
      </w:r>
    </w:p>
    <w:p w14:paraId="1FCA8306">
      <w:pPr>
        <w:bidi w:val="0"/>
      </w:pPr>
      <w:r>
        <w:t>（2）组织指导预案培训和演练、应急救援队伍建设和能力评估等工作；</w:t>
      </w:r>
    </w:p>
    <w:p w14:paraId="56E8800C">
      <w:pPr>
        <w:bidi w:val="0"/>
      </w:pPr>
      <w:r>
        <w:t>（3）指导开展水源地突发环境事件风险防范和应急准备工作。</w:t>
      </w:r>
    </w:p>
    <w:p w14:paraId="71D4BEDB">
      <w:pPr>
        <w:bidi w:val="0"/>
      </w:pPr>
      <w:r>
        <w:t>应急职责为：</w:t>
      </w:r>
    </w:p>
    <w:p w14:paraId="3DE8315A">
      <w:pPr>
        <w:bidi w:val="0"/>
      </w:pPr>
      <w:r>
        <w:t>（1）协助总指挥组织开展现场应急处置；</w:t>
      </w:r>
    </w:p>
    <w:p w14:paraId="6FA7D6C4">
      <w:pPr>
        <w:bidi w:val="0"/>
      </w:pPr>
      <w:r>
        <w:t>（2）根据分工或总指挥安排，负责现场的具体指挥协调；</w:t>
      </w:r>
    </w:p>
    <w:p w14:paraId="644F1006">
      <w:pPr>
        <w:bidi w:val="0"/>
      </w:pPr>
      <w:r>
        <w:t>（3）负责提出有关应急处置建议；</w:t>
      </w:r>
    </w:p>
    <w:p w14:paraId="2CD7296D">
      <w:pPr>
        <w:bidi w:val="0"/>
      </w:pPr>
      <w:r>
        <w:t>（4）负责向场外人员通报有关应急信息；</w:t>
      </w:r>
    </w:p>
    <w:p w14:paraId="18AC14B3">
      <w:pPr>
        <w:bidi w:val="0"/>
      </w:pPr>
      <w:r>
        <w:t>（5）负责协调现场与场外应急处置工作；</w:t>
      </w:r>
    </w:p>
    <w:p w14:paraId="6574E009">
      <w:pPr>
        <w:bidi w:val="0"/>
      </w:pPr>
      <w:r>
        <w:t>（6）停止取水后，负责协调保障居民用水；</w:t>
      </w:r>
    </w:p>
    <w:p w14:paraId="6EEFE6AB">
      <w:pPr>
        <w:bidi w:val="0"/>
      </w:pPr>
      <w:r>
        <w:t>（7）协调处置现场出现的紧急情况。</w:t>
      </w:r>
    </w:p>
    <w:p w14:paraId="546A97E8">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67" w:name="_Toc519064140"/>
      <w:bookmarkStart w:id="68" w:name="_Toc519066674"/>
      <w:bookmarkStart w:id="69" w:name="_Toc518915826"/>
      <w:r>
        <w:rPr>
          <w:rFonts w:ascii="Cambria" w:hAnsi="Cambria" w:eastAsia="宋体" w:cs="Times New Roman"/>
          <w:b/>
          <w:bCs/>
          <w:kern w:val="2"/>
          <w:sz w:val="28"/>
          <w:szCs w:val="28"/>
          <w:lang w:val="en-US" w:eastAsia="zh-CN" w:bidi="ar-SA"/>
        </w:rPr>
        <w:t>2.1.3</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协调办公室</w:t>
      </w:r>
      <w:bookmarkEnd w:id="67"/>
      <w:bookmarkEnd w:id="68"/>
      <w:bookmarkEnd w:id="69"/>
    </w:p>
    <w:p w14:paraId="28C94B71">
      <w:pPr>
        <w:bidi w:val="0"/>
      </w:pPr>
      <w:r>
        <w:t>协调办公室为负责现场应急上传下达的机构，由</w:t>
      </w:r>
      <w:r>
        <w:rPr>
          <w:rFonts w:hint="eastAsia"/>
          <w:lang w:eastAsia="zh-CN"/>
        </w:rPr>
        <w:t>张家界市生态环境局武陵源分局</w:t>
      </w:r>
      <w:r>
        <w:rPr>
          <w:rFonts w:hint="eastAsia"/>
          <w:lang w:val="en-US" w:eastAsia="zh-CN"/>
        </w:rPr>
        <w:t>副局长</w:t>
      </w:r>
      <w:r>
        <w:t>、区应急管理局</w:t>
      </w:r>
      <w:r>
        <w:rPr>
          <w:rFonts w:hint="eastAsia"/>
          <w:lang w:val="en-US" w:eastAsia="zh-CN"/>
        </w:rPr>
        <w:t>副局长</w:t>
      </w:r>
      <w:r>
        <w:t>、</w:t>
      </w:r>
      <w:r>
        <w:rPr>
          <w:rFonts w:hint="eastAsia"/>
          <w:lang w:eastAsia="zh-CN"/>
        </w:rPr>
        <w:t>区农业农村水利局</w:t>
      </w:r>
      <w:r>
        <w:rPr>
          <w:rFonts w:hint="eastAsia"/>
          <w:lang w:val="en-US" w:eastAsia="zh-CN"/>
        </w:rPr>
        <w:t>副局长</w:t>
      </w:r>
      <w:r>
        <w:t>组成。</w:t>
      </w:r>
    </w:p>
    <w:p w14:paraId="1531DF5E">
      <w:pPr>
        <w:bidi w:val="0"/>
      </w:pPr>
      <w:r>
        <w:t>其日常职责为：</w:t>
      </w:r>
    </w:p>
    <w:p w14:paraId="18BA6248">
      <w:pPr>
        <w:bidi w:val="0"/>
      </w:pPr>
      <w:r>
        <w:t>（1）组织应急预案制定、修订水源地应急预案；</w:t>
      </w:r>
    </w:p>
    <w:p w14:paraId="05B962E5">
      <w:pPr>
        <w:bidi w:val="0"/>
      </w:pPr>
      <w:r>
        <w:t>（2）负责水源地应急预案的日常管理，开展预案培训和演练、应急救援队伍建设和能力评估等工作；</w:t>
      </w:r>
    </w:p>
    <w:p w14:paraId="583859FD">
      <w:pPr>
        <w:bidi w:val="0"/>
      </w:pPr>
      <w:r>
        <w:t>（3）组织开展水源地突发环境事件风险防范和应急准备工作。</w:t>
      </w:r>
    </w:p>
    <w:p w14:paraId="4C8D05E2">
      <w:pPr>
        <w:bidi w:val="0"/>
      </w:pPr>
      <w:r>
        <w:t>应急职责为：</w:t>
      </w:r>
    </w:p>
    <w:p w14:paraId="77EFB192">
      <w:pPr>
        <w:bidi w:val="0"/>
      </w:pPr>
      <w:r>
        <w:t>（1）贯彻执行总指挥、副总指挥的各项指令和要求；</w:t>
      </w:r>
    </w:p>
    <w:p w14:paraId="6A8C6A48">
      <w:pPr>
        <w:bidi w:val="0"/>
      </w:pPr>
      <w:r>
        <w:t>（2）负责信息汇总上报，并与有关的外部应急部门、组织和机构进行联络；</w:t>
      </w:r>
    </w:p>
    <w:p w14:paraId="6B64E14F">
      <w:pPr>
        <w:bidi w:val="0"/>
      </w:pPr>
      <w:r>
        <w:t>（3）负责调动应急人员、调配应急资源和联络外部应急组织或机构；</w:t>
      </w:r>
    </w:p>
    <w:p w14:paraId="6C02E63E">
      <w:pPr>
        <w:bidi w:val="0"/>
      </w:pPr>
      <w:r>
        <w:t>（4）收集整理有关事件数据。</w:t>
      </w:r>
    </w:p>
    <w:p w14:paraId="6BF0B374">
      <w:pPr>
        <w:keepNext/>
        <w:keepLines/>
        <w:widowControl w:val="0"/>
        <w:bidi w:val="0"/>
        <w:spacing w:line="377" w:lineRule="auto"/>
        <w:ind w:firstLine="0" w:firstLineChars="0"/>
        <w:jc w:val="both"/>
        <w:outlineLvl w:val="3"/>
        <w:rPr>
          <w:rFonts w:hint="eastAsia" w:ascii="Cambria" w:hAnsi="Cambria" w:eastAsia="宋体" w:cs="Times New Roman"/>
          <w:b/>
          <w:bCs/>
          <w:kern w:val="2"/>
          <w:sz w:val="28"/>
          <w:szCs w:val="28"/>
          <w:lang w:val="en-US" w:eastAsia="zh-CN" w:bidi="ar-SA"/>
        </w:rPr>
      </w:pPr>
      <w:bookmarkStart w:id="70" w:name="_Toc18486"/>
      <w:bookmarkStart w:id="71" w:name="_Toc17793"/>
      <w:r>
        <w:rPr>
          <w:rFonts w:hint="eastAsia" w:ascii="Cambria" w:hAnsi="Cambria" w:eastAsia="宋体" w:cs="Times New Roman"/>
          <w:b/>
          <w:bCs/>
          <w:kern w:val="2"/>
          <w:sz w:val="28"/>
          <w:szCs w:val="28"/>
          <w:lang w:val="en-US" w:eastAsia="zh-CN" w:bidi="ar-SA"/>
        </w:rPr>
        <w:t>2.1.4 专项工作组</w:t>
      </w:r>
      <w:bookmarkEnd w:id="70"/>
      <w:bookmarkEnd w:id="71"/>
    </w:p>
    <w:p w14:paraId="589C3721">
      <w:pPr>
        <w:rPr>
          <w:rFonts w:hint="default"/>
          <w:lang w:val="en-US" w:eastAsia="zh-CN"/>
        </w:rPr>
      </w:pPr>
      <w:r>
        <w:rPr>
          <w:rFonts w:hint="default"/>
          <w:lang w:val="en-US" w:eastAsia="zh-CN"/>
        </w:rPr>
        <w:t>专项工作组负责完成协调办公室下达的相关专项任务。其成员由各个部门相关负责人组成。</w:t>
      </w:r>
    </w:p>
    <w:p w14:paraId="5B51E0D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表2.1-1专项工作组组成</w:t>
      </w:r>
    </w:p>
    <w:tbl>
      <w:tblPr>
        <w:tblStyle w:val="19"/>
        <w:tblpPr w:leftFromText="180" w:rightFromText="180" w:vertAnchor="text" w:horzAnchor="page" w:tblpX="1775" w:tblpY="476"/>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436"/>
        <w:gridCol w:w="1515"/>
        <w:gridCol w:w="2172"/>
        <w:gridCol w:w="2056"/>
      </w:tblGrid>
      <w:tr w14:paraId="7AF3B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3" w:type="dxa"/>
            <w:tcBorders>
              <w:tl2br w:val="nil"/>
              <w:tr2bl w:val="nil"/>
            </w:tcBorders>
            <w:noWrap w:val="0"/>
            <w:vAlign w:val="center"/>
          </w:tcPr>
          <w:p w14:paraId="6F24D4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来源部门</w:t>
            </w:r>
          </w:p>
        </w:tc>
        <w:tc>
          <w:tcPr>
            <w:tcW w:w="1436" w:type="dxa"/>
            <w:tcBorders>
              <w:tl2br w:val="nil"/>
              <w:tr2bl w:val="nil"/>
            </w:tcBorders>
            <w:noWrap w:val="0"/>
            <w:vAlign w:val="center"/>
          </w:tcPr>
          <w:p w14:paraId="348C36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负责人姓名以及职务</w:t>
            </w:r>
          </w:p>
        </w:tc>
        <w:tc>
          <w:tcPr>
            <w:tcW w:w="1515" w:type="dxa"/>
            <w:tcBorders>
              <w:tl2br w:val="nil"/>
              <w:tr2bl w:val="nil"/>
            </w:tcBorders>
            <w:noWrap w:val="0"/>
            <w:vAlign w:val="center"/>
          </w:tcPr>
          <w:p w14:paraId="1F13F5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电话</w:t>
            </w:r>
          </w:p>
        </w:tc>
        <w:tc>
          <w:tcPr>
            <w:tcW w:w="2172" w:type="dxa"/>
            <w:tcBorders>
              <w:tl2br w:val="nil"/>
              <w:tr2bl w:val="nil"/>
            </w:tcBorders>
            <w:noWrap w:val="0"/>
            <w:vAlign w:val="center"/>
          </w:tcPr>
          <w:p w14:paraId="66F959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日常职责</w:t>
            </w:r>
          </w:p>
        </w:tc>
        <w:tc>
          <w:tcPr>
            <w:tcW w:w="2056" w:type="dxa"/>
            <w:tcBorders>
              <w:tl2br w:val="nil"/>
              <w:tr2bl w:val="nil"/>
            </w:tcBorders>
            <w:noWrap w:val="0"/>
            <w:vAlign w:val="center"/>
          </w:tcPr>
          <w:p w14:paraId="2C0362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应急职责</w:t>
            </w:r>
          </w:p>
        </w:tc>
      </w:tr>
      <w:tr w14:paraId="7F1C8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3" w:type="dxa"/>
            <w:tcBorders>
              <w:tl2br w:val="nil"/>
              <w:tr2bl w:val="nil"/>
            </w:tcBorders>
            <w:noWrap w:val="0"/>
            <w:vAlign w:val="center"/>
          </w:tcPr>
          <w:p w14:paraId="0CED91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区财政局</w:t>
            </w:r>
          </w:p>
        </w:tc>
        <w:tc>
          <w:tcPr>
            <w:tcW w:w="1436" w:type="dxa"/>
            <w:tcBorders>
              <w:tl2br w:val="nil"/>
              <w:tr2bl w:val="nil"/>
            </w:tcBorders>
            <w:noWrap w:val="0"/>
            <w:vAlign w:val="center"/>
          </w:tcPr>
          <w:p w14:paraId="6A1216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邓学飞，副局长</w:t>
            </w:r>
          </w:p>
        </w:tc>
        <w:tc>
          <w:tcPr>
            <w:tcW w:w="1515" w:type="dxa"/>
            <w:tcBorders>
              <w:tl2br w:val="nil"/>
              <w:tr2bl w:val="nil"/>
            </w:tcBorders>
            <w:noWrap w:val="0"/>
            <w:vAlign w:val="center"/>
          </w:tcPr>
          <w:p w14:paraId="07AA95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19974439075</w:t>
            </w:r>
          </w:p>
        </w:tc>
        <w:tc>
          <w:tcPr>
            <w:tcW w:w="2172" w:type="dxa"/>
            <w:tcBorders>
              <w:tl2br w:val="nil"/>
              <w:tr2bl w:val="nil"/>
            </w:tcBorders>
            <w:noWrap w:val="0"/>
            <w:vAlign w:val="center"/>
          </w:tcPr>
          <w:p w14:paraId="78EEB2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负责保障水源地突发环境事件应急管理工作经费</w:t>
            </w:r>
          </w:p>
        </w:tc>
        <w:tc>
          <w:tcPr>
            <w:tcW w:w="2056" w:type="dxa"/>
            <w:tcBorders>
              <w:tl2br w:val="nil"/>
              <w:tr2bl w:val="nil"/>
            </w:tcBorders>
            <w:noWrap w:val="0"/>
            <w:vAlign w:val="center"/>
          </w:tcPr>
          <w:p w14:paraId="4B2322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负责保障水源地突发环境事件应急处置期间的费用</w:t>
            </w:r>
          </w:p>
        </w:tc>
      </w:tr>
      <w:tr w14:paraId="04793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3" w:type="dxa"/>
            <w:tcBorders>
              <w:tl2br w:val="nil"/>
              <w:tr2bl w:val="nil"/>
            </w:tcBorders>
            <w:noWrap w:val="0"/>
            <w:vAlign w:val="center"/>
          </w:tcPr>
          <w:p w14:paraId="005FE0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区自然资源和林业局</w:t>
            </w:r>
          </w:p>
        </w:tc>
        <w:tc>
          <w:tcPr>
            <w:tcW w:w="1436" w:type="dxa"/>
            <w:tcBorders>
              <w:tl2br w:val="nil"/>
              <w:tr2bl w:val="nil"/>
            </w:tcBorders>
            <w:noWrap w:val="0"/>
            <w:vAlign w:val="center"/>
          </w:tcPr>
          <w:p w14:paraId="032636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胡绍华</w:t>
            </w:r>
            <w:r>
              <w:rPr>
                <w:rFonts w:hint="eastAsia" w:ascii="宋体" w:hAnsi="宋体" w:eastAsia="宋体" w:cs="宋体"/>
                <w:sz w:val="21"/>
                <w:szCs w:val="21"/>
                <w:lang w:val="en-US" w:eastAsia="zh-CN"/>
              </w:rPr>
              <w:t>，副局长</w:t>
            </w:r>
          </w:p>
        </w:tc>
        <w:tc>
          <w:tcPr>
            <w:tcW w:w="1515" w:type="dxa"/>
            <w:tcBorders>
              <w:tl2br w:val="nil"/>
              <w:tr2bl w:val="nil"/>
            </w:tcBorders>
            <w:noWrap w:val="0"/>
            <w:vAlign w:val="center"/>
          </w:tcPr>
          <w:p w14:paraId="3C10CD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13974445970</w:t>
            </w:r>
          </w:p>
        </w:tc>
        <w:tc>
          <w:tcPr>
            <w:tcW w:w="2172" w:type="dxa"/>
            <w:tcBorders>
              <w:tl2br w:val="nil"/>
              <w:tr2bl w:val="nil"/>
            </w:tcBorders>
            <w:noWrap w:val="0"/>
            <w:vAlign w:val="center"/>
          </w:tcPr>
          <w:p w14:paraId="4F6BE3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规划、建设和管理适用于水源地突发环境事件应急处置的场地</w:t>
            </w:r>
          </w:p>
        </w:tc>
        <w:tc>
          <w:tcPr>
            <w:tcW w:w="2056" w:type="dxa"/>
            <w:tcBorders>
              <w:tl2br w:val="nil"/>
              <w:tr2bl w:val="nil"/>
            </w:tcBorders>
            <w:noWrap w:val="0"/>
            <w:vAlign w:val="center"/>
          </w:tcPr>
          <w:p w14:paraId="11AB6D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负责保障水源地突发环境事件应急处置的场地</w:t>
            </w:r>
          </w:p>
        </w:tc>
      </w:tr>
      <w:tr w14:paraId="15248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3" w:type="dxa"/>
            <w:tcBorders>
              <w:tl2br w:val="nil"/>
              <w:tr2bl w:val="nil"/>
            </w:tcBorders>
            <w:noWrap w:val="0"/>
            <w:vAlign w:val="center"/>
          </w:tcPr>
          <w:p w14:paraId="7ACAEE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张家界市生态环境局武陵源分局</w:t>
            </w:r>
          </w:p>
        </w:tc>
        <w:tc>
          <w:tcPr>
            <w:tcW w:w="1436" w:type="dxa"/>
            <w:tcBorders>
              <w:tl2br w:val="nil"/>
              <w:tr2bl w:val="nil"/>
            </w:tcBorders>
            <w:noWrap w:val="0"/>
            <w:vAlign w:val="center"/>
          </w:tcPr>
          <w:p w14:paraId="686DEB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吴斌</w:t>
            </w:r>
            <w:r>
              <w:rPr>
                <w:rFonts w:hint="eastAsia" w:cs="Times New Roman"/>
                <w:sz w:val="21"/>
                <w:szCs w:val="21"/>
                <w:lang w:val="en-US" w:eastAsia="zh-CN"/>
              </w:rPr>
              <w:t>，副局长</w:t>
            </w:r>
          </w:p>
        </w:tc>
        <w:tc>
          <w:tcPr>
            <w:tcW w:w="1515" w:type="dxa"/>
            <w:tcBorders>
              <w:tl2br w:val="nil"/>
              <w:tr2bl w:val="nil"/>
            </w:tcBorders>
            <w:noWrap w:val="0"/>
            <w:vAlign w:val="center"/>
          </w:tcPr>
          <w:p w14:paraId="1A106D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18974490369</w:t>
            </w:r>
          </w:p>
        </w:tc>
        <w:tc>
          <w:tcPr>
            <w:tcW w:w="2172" w:type="dxa"/>
            <w:tcBorders>
              <w:tl2br w:val="nil"/>
              <w:tr2bl w:val="nil"/>
            </w:tcBorders>
            <w:noWrap w:val="0"/>
            <w:vAlign w:val="center"/>
          </w:tcPr>
          <w:p w14:paraId="7C1B02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负责水源地日常监测，及时上报并通报水源地水质异常信息。开展水源地污染防治的日常监督和管理</w:t>
            </w:r>
          </w:p>
        </w:tc>
        <w:tc>
          <w:tcPr>
            <w:tcW w:w="2056" w:type="dxa"/>
            <w:tcBorders>
              <w:tl2br w:val="nil"/>
              <w:tr2bl w:val="nil"/>
            </w:tcBorders>
            <w:noWrap w:val="0"/>
            <w:vAlign w:val="center"/>
          </w:tcPr>
          <w:p w14:paraId="34E13B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负责应急监测，督促、指导有关部门和单位开展水源地污染物削减处置等工作</w:t>
            </w:r>
          </w:p>
        </w:tc>
      </w:tr>
      <w:tr w14:paraId="758E0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3" w:type="dxa"/>
            <w:tcBorders>
              <w:tl2br w:val="nil"/>
              <w:tr2bl w:val="nil"/>
            </w:tcBorders>
            <w:noWrap w:val="0"/>
            <w:vAlign w:val="center"/>
          </w:tcPr>
          <w:p w14:paraId="3F5C02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区农业农村水利局</w:t>
            </w:r>
          </w:p>
        </w:tc>
        <w:tc>
          <w:tcPr>
            <w:tcW w:w="1436" w:type="dxa"/>
            <w:tcBorders>
              <w:tl2br w:val="nil"/>
              <w:tr2bl w:val="nil"/>
            </w:tcBorders>
            <w:noWrap w:val="0"/>
            <w:vAlign w:val="center"/>
          </w:tcPr>
          <w:p w14:paraId="141466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邓远</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副局长</w:t>
            </w:r>
          </w:p>
        </w:tc>
        <w:tc>
          <w:tcPr>
            <w:tcW w:w="1515" w:type="dxa"/>
            <w:tcBorders>
              <w:tl2br w:val="nil"/>
              <w:tr2bl w:val="nil"/>
            </w:tcBorders>
            <w:noWrap w:val="0"/>
            <w:vAlign w:val="center"/>
          </w:tcPr>
          <w:p w14:paraId="1599E8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13637441258</w:t>
            </w:r>
          </w:p>
        </w:tc>
        <w:tc>
          <w:tcPr>
            <w:tcW w:w="2172" w:type="dxa"/>
            <w:tcBorders>
              <w:tl2br w:val="nil"/>
              <w:tr2bl w:val="nil"/>
            </w:tcBorders>
            <w:noWrap w:val="0"/>
            <w:vAlign w:val="center"/>
          </w:tcPr>
          <w:p w14:paraId="158040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负责供水单位日常管理工作</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对供水单位水质异常现象进行调查处理</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及时上报并通报供水单位水质异常信息</w:t>
            </w:r>
          </w:p>
        </w:tc>
        <w:tc>
          <w:tcPr>
            <w:tcW w:w="2056" w:type="dxa"/>
            <w:tcBorders>
              <w:tl2br w:val="nil"/>
              <w:tr2bl w:val="nil"/>
            </w:tcBorders>
            <w:noWrap w:val="0"/>
            <w:vAlign w:val="center"/>
          </w:tcPr>
          <w:p w14:paraId="57D6FF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按照应急指挥部要求，利用水利工程进行污染团拦截、降污或调水稀释等工作</w:t>
            </w:r>
          </w:p>
        </w:tc>
      </w:tr>
      <w:tr w14:paraId="03A4E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343" w:type="dxa"/>
            <w:tcBorders>
              <w:tl2br w:val="nil"/>
              <w:tr2bl w:val="nil"/>
            </w:tcBorders>
            <w:noWrap w:val="0"/>
            <w:vAlign w:val="center"/>
          </w:tcPr>
          <w:p w14:paraId="4ED5F8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区应急管理局</w:t>
            </w:r>
          </w:p>
        </w:tc>
        <w:tc>
          <w:tcPr>
            <w:tcW w:w="1436" w:type="dxa"/>
            <w:tcBorders>
              <w:tl2br w:val="nil"/>
              <w:tr2bl w:val="nil"/>
            </w:tcBorders>
            <w:noWrap w:val="0"/>
            <w:vAlign w:val="center"/>
          </w:tcPr>
          <w:p w14:paraId="3F8FAF02">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向绪军</w:t>
            </w:r>
            <w:r>
              <w:rPr>
                <w:rFonts w:hint="eastAsia" w:cs="Times New Roman"/>
                <w:sz w:val="21"/>
                <w:szCs w:val="21"/>
                <w:lang w:val="en-US" w:eastAsia="zh-CN"/>
              </w:rPr>
              <w:t>，副局长</w:t>
            </w:r>
          </w:p>
        </w:tc>
        <w:tc>
          <w:tcPr>
            <w:tcW w:w="1515" w:type="dxa"/>
            <w:tcBorders>
              <w:tl2br w:val="nil"/>
              <w:tr2bl w:val="nil"/>
            </w:tcBorders>
            <w:noWrap w:val="0"/>
            <w:vAlign w:val="center"/>
          </w:tcPr>
          <w:p w14:paraId="1C2D59B3">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13367446511</w:t>
            </w:r>
          </w:p>
        </w:tc>
        <w:tc>
          <w:tcPr>
            <w:tcW w:w="2172" w:type="dxa"/>
            <w:tcBorders>
              <w:tl2br w:val="nil"/>
              <w:tr2bl w:val="nil"/>
            </w:tcBorders>
            <w:noWrap w:val="0"/>
            <w:vAlign w:val="center"/>
          </w:tcPr>
          <w:p w14:paraId="1ABB68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负责有关应急物资的日常维护管理</w:t>
            </w:r>
          </w:p>
        </w:tc>
        <w:tc>
          <w:tcPr>
            <w:tcW w:w="2056" w:type="dxa"/>
            <w:tcBorders>
              <w:tl2br w:val="nil"/>
              <w:tr2bl w:val="nil"/>
            </w:tcBorders>
            <w:noWrap w:val="0"/>
            <w:vAlign w:val="center"/>
          </w:tcPr>
          <w:p w14:paraId="3FD71C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负责有关应急物资 的使用管理</w:t>
            </w:r>
          </w:p>
        </w:tc>
      </w:tr>
      <w:tr w14:paraId="478E4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3" w:type="dxa"/>
            <w:tcBorders>
              <w:tl2br w:val="nil"/>
              <w:tr2bl w:val="nil"/>
            </w:tcBorders>
            <w:noWrap w:val="0"/>
            <w:vAlign w:val="center"/>
          </w:tcPr>
          <w:p w14:paraId="3ECC08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区卫生健康局</w:t>
            </w:r>
          </w:p>
        </w:tc>
        <w:tc>
          <w:tcPr>
            <w:tcW w:w="1436" w:type="dxa"/>
            <w:tcBorders>
              <w:tl2br w:val="nil"/>
              <w:tr2bl w:val="nil"/>
            </w:tcBorders>
            <w:noWrap w:val="0"/>
            <w:vAlign w:val="center"/>
          </w:tcPr>
          <w:p w14:paraId="53C1C5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谭正鹏</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副局长</w:t>
            </w:r>
          </w:p>
        </w:tc>
        <w:tc>
          <w:tcPr>
            <w:tcW w:w="1515" w:type="dxa"/>
            <w:tcBorders>
              <w:tl2br w:val="nil"/>
              <w:tr2bl w:val="nil"/>
            </w:tcBorders>
            <w:noWrap w:val="0"/>
            <w:vAlign w:val="center"/>
          </w:tcPr>
          <w:p w14:paraId="216C63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15074444725</w:t>
            </w:r>
          </w:p>
        </w:tc>
        <w:tc>
          <w:tcPr>
            <w:tcW w:w="2172" w:type="dxa"/>
            <w:tcBorders>
              <w:tl2br w:val="nil"/>
              <w:tr2bl w:val="nil"/>
            </w:tcBorders>
            <w:noWrap w:val="0"/>
            <w:vAlign w:val="center"/>
          </w:tcPr>
          <w:p w14:paraId="7701B6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负责自来水管网末梢水水质卫生日常管理</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及时上报并通报管网末梢水水质</w:t>
            </w:r>
            <w:r>
              <w:rPr>
                <w:rFonts w:hint="eastAsia" w:ascii="宋体" w:hAnsi="宋体" w:eastAsia="宋体" w:cs="宋体"/>
                <w:sz w:val="21"/>
                <w:szCs w:val="21"/>
                <w:lang w:val="en-US" w:eastAsia="zh-CN"/>
              </w:rPr>
              <w:t>异</w:t>
            </w:r>
            <w:r>
              <w:rPr>
                <w:rFonts w:hint="default" w:ascii="宋体" w:hAnsi="宋体" w:eastAsia="宋体" w:cs="宋体"/>
                <w:sz w:val="21"/>
                <w:szCs w:val="21"/>
                <w:lang w:val="en-US" w:eastAsia="zh-CN"/>
              </w:rPr>
              <w:t>常信息</w:t>
            </w:r>
          </w:p>
        </w:tc>
        <w:tc>
          <w:tcPr>
            <w:tcW w:w="2056" w:type="dxa"/>
            <w:tcBorders>
              <w:tl2br w:val="nil"/>
              <w:tr2bl w:val="nil"/>
            </w:tcBorders>
            <w:noWrap w:val="0"/>
            <w:vAlign w:val="center"/>
          </w:tcPr>
          <w:p w14:paraId="58B58F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负责管网末梢水水质应急监测</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确保应急期间居民饮水卫生安全</w:t>
            </w:r>
          </w:p>
        </w:tc>
      </w:tr>
      <w:tr w14:paraId="1D0D3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3" w:type="dxa"/>
            <w:tcBorders>
              <w:tl2br w:val="nil"/>
              <w:tr2bl w:val="nil"/>
            </w:tcBorders>
            <w:noWrap w:val="0"/>
            <w:vAlign w:val="center"/>
          </w:tcPr>
          <w:p w14:paraId="699A3A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区城乡建设和交通运输局</w:t>
            </w:r>
          </w:p>
        </w:tc>
        <w:tc>
          <w:tcPr>
            <w:tcW w:w="1436" w:type="dxa"/>
            <w:tcBorders>
              <w:tl2br w:val="nil"/>
              <w:tr2bl w:val="nil"/>
            </w:tcBorders>
            <w:noWrap w:val="0"/>
            <w:vAlign w:val="center"/>
          </w:tcPr>
          <w:p w14:paraId="234B03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祝园</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局长</w:t>
            </w:r>
          </w:p>
        </w:tc>
        <w:tc>
          <w:tcPr>
            <w:tcW w:w="1515" w:type="dxa"/>
            <w:tcBorders>
              <w:tl2br w:val="nil"/>
              <w:tr2bl w:val="nil"/>
            </w:tcBorders>
            <w:noWrap w:val="0"/>
            <w:vAlign w:val="center"/>
          </w:tcPr>
          <w:p w14:paraId="500F9F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18074470919</w:t>
            </w:r>
          </w:p>
        </w:tc>
        <w:tc>
          <w:tcPr>
            <w:tcW w:w="2172" w:type="dxa"/>
            <w:tcBorders>
              <w:tl2br w:val="nil"/>
              <w:tr2bl w:val="nil"/>
            </w:tcBorders>
            <w:noWrap w:val="0"/>
            <w:vAlign w:val="center"/>
          </w:tcPr>
          <w:p w14:paraId="083927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道路的日常应急管理工作，建设维护道路应急工程设施</w:t>
            </w:r>
            <w:r>
              <w:rPr>
                <w:rFonts w:hint="eastAsia" w:ascii="宋体" w:hAnsi="宋体" w:eastAsia="宋体" w:cs="宋体"/>
                <w:sz w:val="21"/>
                <w:szCs w:val="21"/>
                <w:lang w:val="en-US" w:eastAsia="zh-CN"/>
              </w:rPr>
              <w:t>等</w:t>
            </w:r>
          </w:p>
        </w:tc>
        <w:tc>
          <w:tcPr>
            <w:tcW w:w="2056" w:type="dxa"/>
            <w:tcBorders>
              <w:tl2br w:val="nil"/>
              <w:tr2bl w:val="nil"/>
            </w:tcBorders>
            <w:noWrap w:val="0"/>
            <w:vAlign w:val="center"/>
          </w:tcPr>
          <w:p w14:paraId="6827D0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负责保障应急物资运输车辆快速通行</w:t>
            </w:r>
            <w:r>
              <w:rPr>
                <w:rFonts w:hint="eastAsia" w:ascii="宋体" w:hAnsi="宋体" w:eastAsia="宋体" w:cs="宋体"/>
                <w:sz w:val="21"/>
                <w:szCs w:val="21"/>
                <w:lang w:val="en-US" w:eastAsia="zh-CN"/>
              </w:rPr>
              <w:t>至水源地保护区</w:t>
            </w:r>
          </w:p>
        </w:tc>
      </w:tr>
    </w:tbl>
    <w:p w14:paraId="2F5E7705">
      <w:pPr>
        <w:keepNext w:val="0"/>
        <w:keepLines w:val="0"/>
        <w:pageBreakBefore w:val="0"/>
        <w:widowControl/>
        <w:kinsoku/>
        <w:wordWrap/>
        <w:overflowPunct/>
        <w:topLinePunct w:val="0"/>
        <w:autoSpaceDE/>
        <w:autoSpaceDN/>
        <w:bidi w:val="0"/>
        <w:adjustRightInd/>
        <w:snapToGrid/>
        <w:ind w:firstLine="0" w:firstLineChars="0"/>
        <w:jc w:val="both"/>
        <w:textAlignment w:val="auto"/>
        <w:rPr>
          <w:rFonts w:hint="default" w:ascii="Times New Roman" w:hAnsi="Times New Roman" w:eastAsia="宋体"/>
          <w:sz w:val="24"/>
          <w:szCs w:val="24"/>
          <w:lang w:val="en-US" w:eastAsia="zh-CN"/>
        </w:rPr>
      </w:pPr>
    </w:p>
    <w:p w14:paraId="2B8BE65D">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72" w:name="_Toc7936"/>
      <w:bookmarkStart w:id="73" w:name="_Toc2085"/>
      <w:bookmarkStart w:id="74" w:name="_Toc947"/>
      <w:bookmarkStart w:id="75" w:name="_Toc16983"/>
      <w:bookmarkStart w:id="76" w:name="_Toc4916"/>
      <w:bookmarkStart w:id="77" w:name="_Toc13137"/>
      <w:bookmarkStart w:id="78" w:name="_Toc11957"/>
      <w:r>
        <w:rPr>
          <w:rFonts w:ascii="Times New Roman" w:hAnsi="Times New Roman" w:eastAsia="宋体" w:cs="Times New Roman"/>
          <w:b/>
          <w:bCs/>
          <w:kern w:val="2"/>
          <w:sz w:val="32"/>
          <w:szCs w:val="32"/>
          <w:lang w:val="en-US" w:eastAsia="zh-CN" w:bidi="ar-SA"/>
        </w:rPr>
        <w:t>2.2</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现场应急指挥部</w:t>
      </w:r>
      <w:bookmarkEnd w:id="72"/>
      <w:bookmarkEnd w:id="73"/>
      <w:bookmarkEnd w:id="74"/>
      <w:bookmarkEnd w:id="75"/>
      <w:bookmarkEnd w:id="76"/>
      <w:bookmarkEnd w:id="77"/>
      <w:bookmarkEnd w:id="78"/>
    </w:p>
    <w:p w14:paraId="6EB86F96">
      <w:pPr>
        <w:bidi w:val="0"/>
      </w:pPr>
      <w:r>
        <w:t>现场应急指挥部是根据卸甲峪水库饮用水水源地突发不同情景环境事件，在应急组织指挥机构总指挥领导下，从应急组织机构中选择直接相关部门和单位成立现场应急指挥部，主要负责领导、组织和协调卸甲峪水库饮用水水源地突发环境事件下现场应急专项工作组的各项应急工作。</w:t>
      </w:r>
    </w:p>
    <w:p w14:paraId="1189C5B9">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79" w:name="_Toc22595"/>
      <w:bookmarkStart w:id="80" w:name="_Toc22379"/>
      <w:bookmarkStart w:id="81" w:name="_Toc2693"/>
      <w:bookmarkStart w:id="82" w:name="_Toc1360"/>
      <w:bookmarkStart w:id="83" w:name="_Toc3301"/>
      <w:bookmarkStart w:id="84" w:name="_Toc29981"/>
      <w:bookmarkStart w:id="85" w:name="_Toc21168"/>
      <w:r>
        <w:rPr>
          <w:rFonts w:ascii="Times New Roman" w:hAnsi="Times New Roman" w:eastAsia="宋体" w:cs="Times New Roman"/>
          <w:b/>
          <w:bCs/>
          <w:kern w:val="2"/>
          <w:sz w:val="32"/>
          <w:szCs w:val="32"/>
          <w:lang w:val="en-US" w:eastAsia="zh-CN" w:bidi="ar-SA"/>
        </w:rPr>
        <w:t>2.3</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现场应急工作组</w:t>
      </w:r>
      <w:bookmarkEnd w:id="79"/>
      <w:bookmarkEnd w:id="80"/>
      <w:bookmarkEnd w:id="81"/>
      <w:bookmarkEnd w:id="82"/>
      <w:bookmarkEnd w:id="83"/>
      <w:bookmarkEnd w:id="84"/>
      <w:bookmarkEnd w:id="85"/>
    </w:p>
    <w:p w14:paraId="5CEFA6BE">
      <w:pPr>
        <w:bidi w:val="0"/>
      </w:pPr>
      <w:r>
        <w:t>现场应急工作组应包括应急处置组、应急监测组、应急供水保障组、应急物资保障组、应急专家组、</w:t>
      </w:r>
      <w:r>
        <w:rPr>
          <w:rFonts w:hint="eastAsia"/>
          <w:lang w:eastAsia="zh-CN"/>
        </w:rPr>
        <w:t>新闻宣传与舆情监测组</w:t>
      </w:r>
      <w:r>
        <w:t>。</w:t>
      </w:r>
    </w:p>
    <w:p w14:paraId="0253479D">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sz w:val="24"/>
          <w:szCs w:val="24"/>
        </w:rPr>
      </w:pPr>
      <w:r>
        <w:br w:type="page"/>
      </w:r>
      <w:r>
        <w:rPr>
          <w:rFonts w:hint="eastAsia" w:ascii="Times New Roman" w:hAnsi="Times New Roman" w:eastAsia="宋体"/>
          <w:sz w:val="24"/>
          <w:szCs w:val="24"/>
        </w:rPr>
        <w:t>表2</w:t>
      </w:r>
      <w:r>
        <w:rPr>
          <w:rFonts w:hint="eastAsia" w:ascii="Times New Roman" w:hAnsi="Times New Roman" w:eastAsia="宋体"/>
          <w:sz w:val="24"/>
          <w:szCs w:val="24"/>
          <w:lang w:val="en-US" w:eastAsia="zh-CN"/>
        </w:rPr>
        <w:t>.2-1</w:t>
      </w:r>
      <w:r>
        <w:rPr>
          <w:rFonts w:hint="eastAsia" w:ascii="Times New Roman" w:hAnsi="Times New Roman" w:eastAsia="宋体"/>
          <w:sz w:val="24"/>
          <w:szCs w:val="24"/>
        </w:rPr>
        <w:t>应急工作组组成及职责表</w:t>
      </w:r>
    </w:p>
    <w:tbl>
      <w:tblPr>
        <w:tblStyle w:val="18"/>
        <w:tblW w:w="418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2"/>
        <w:gridCol w:w="397"/>
        <w:gridCol w:w="2706"/>
        <w:gridCol w:w="3093"/>
      </w:tblGrid>
      <w:tr w14:paraId="5341C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tcBorders>
              <w:tl2br w:val="nil"/>
              <w:tr2bl w:val="nil"/>
            </w:tcBorders>
            <w:vAlign w:val="center"/>
          </w:tcPr>
          <w:p w14:paraId="37AAE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1"/>
                <w:szCs w:val="21"/>
              </w:rPr>
            </w:pPr>
            <w:r>
              <w:rPr>
                <w:rFonts w:hint="eastAsia" w:ascii="宋体" w:hAnsi="宋体" w:cs="宋体"/>
                <w:b/>
                <w:bCs/>
                <w:sz w:val="21"/>
                <w:szCs w:val="21"/>
              </w:rPr>
              <w:t>应急工作组组成</w:t>
            </w:r>
          </w:p>
        </w:tc>
        <w:tc>
          <w:tcPr>
            <w:tcW w:w="278" w:type="pct"/>
            <w:tcBorders>
              <w:tl2br w:val="nil"/>
              <w:tr2bl w:val="nil"/>
            </w:tcBorders>
            <w:vAlign w:val="center"/>
          </w:tcPr>
          <w:p w14:paraId="4FC80B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组成</w:t>
            </w:r>
          </w:p>
        </w:tc>
        <w:tc>
          <w:tcPr>
            <w:tcW w:w="1898" w:type="pct"/>
            <w:tcBorders>
              <w:tl2br w:val="nil"/>
              <w:tr2bl w:val="nil"/>
            </w:tcBorders>
            <w:vAlign w:val="center"/>
          </w:tcPr>
          <w:p w14:paraId="1B586A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1"/>
                <w:szCs w:val="21"/>
              </w:rPr>
            </w:pPr>
            <w:r>
              <w:rPr>
                <w:rFonts w:hint="eastAsia" w:ascii="宋体" w:hAnsi="宋体" w:cs="宋体"/>
                <w:b/>
                <w:bCs/>
                <w:sz w:val="21"/>
                <w:szCs w:val="21"/>
                <w:lang w:val="en-US" w:eastAsia="zh-CN"/>
              </w:rPr>
              <w:t>单位</w:t>
            </w:r>
            <w:r>
              <w:rPr>
                <w:rFonts w:hint="eastAsia" w:ascii="宋体" w:hAnsi="宋体" w:cs="宋体"/>
                <w:b/>
                <w:bCs/>
                <w:sz w:val="21"/>
                <w:szCs w:val="21"/>
              </w:rPr>
              <w:t>组成</w:t>
            </w:r>
          </w:p>
        </w:tc>
        <w:tc>
          <w:tcPr>
            <w:tcW w:w="2169" w:type="pct"/>
            <w:tcBorders>
              <w:tl2br w:val="nil"/>
              <w:tr2bl w:val="nil"/>
            </w:tcBorders>
            <w:vAlign w:val="center"/>
          </w:tcPr>
          <w:p w14:paraId="4F0DF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1"/>
                <w:szCs w:val="21"/>
              </w:rPr>
            </w:pPr>
            <w:r>
              <w:rPr>
                <w:rFonts w:hint="eastAsia" w:ascii="宋体" w:hAnsi="宋体" w:cs="宋体"/>
                <w:b/>
                <w:bCs/>
                <w:sz w:val="21"/>
                <w:szCs w:val="21"/>
              </w:rPr>
              <w:t>应急职责</w:t>
            </w:r>
          </w:p>
        </w:tc>
      </w:tr>
      <w:tr w14:paraId="7177F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653" w:type="pct"/>
            <w:vMerge w:val="restart"/>
            <w:tcBorders>
              <w:tl2br w:val="nil"/>
              <w:tr2bl w:val="nil"/>
            </w:tcBorders>
            <w:vAlign w:val="center"/>
          </w:tcPr>
          <w:p w14:paraId="1FA14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应急处置组</w:t>
            </w:r>
          </w:p>
        </w:tc>
        <w:tc>
          <w:tcPr>
            <w:tcW w:w="278" w:type="pct"/>
            <w:tcBorders>
              <w:tl2br w:val="nil"/>
              <w:tr2bl w:val="nil"/>
            </w:tcBorders>
            <w:vAlign w:val="center"/>
          </w:tcPr>
          <w:p w14:paraId="4C60E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组长</w:t>
            </w:r>
          </w:p>
        </w:tc>
        <w:tc>
          <w:tcPr>
            <w:tcW w:w="1898" w:type="pct"/>
            <w:tcBorders>
              <w:tl2br w:val="nil"/>
              <w:tr2bl w:val="nil"/>
            </w:tcBorders>
            <w:vAlign w:val="center"/>
          </w:tcPr>
          <w:p w14:paraId="0183D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区农业农村水利局</w:t>
            </w:r>
          </w:p>
        </w:tc>
        <w:tc>
          <w:tcPr>
            <w:tcW w:w="2169" w:type="pct"/>
            <w:vMerge w:val="restart"/>
            <w:tcBorders>
              <w:tl2br w:val="nil"/>
              <w:tr2bl w:val="nil"/>
            </w:tcBorders>
            <w:vAlign w:val="center"/>
          </w:tcPr>
          <w:p w14:paraId="6AEBF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（1）负责组织制定应急处置方案；</w:t>
            </w:r>
          </w:p>
          <w:p w14:paraId="59656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（2）负责现场污染物消除、围堵和削减，以及污染物收集、转运和异地处置等工作。</w:t>
            </w:r>
          </w:p>
        </w:tc>
      </w:tr>
      <w:tr w14:paraId="402225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11729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278" w:type="pct"/>
            <w:vMerge w:val="restart"/>
            <w:tcBorders>
              <w:tl2br w:val="nil"/>
              <w:tr2bl w:val="nil"/>
            </w:tcBorders>
            <w:vAlign w:val="center"/>
          </w:tcPr>
          <w:p w14:paraId="3EF1C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组员</w:t>
            </w:r>
          </w:p>
        </w:tc>
        <w:tc>
          <w:tcPr>
            <w:tcW w:w="1898" w:type="pct"/>
            <w:tcBorders>
              <w:tl2br w:val="nil"/>
              <w:tr2bl w:val="nil"/>
            </w:tcBorders>
            <w:vAlign w:val="center"/>
          </w:tcPr>
          <w:p w14:paraId="1AADB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w:t>
            </w:r>
            <w:r>
              <w:rPr>
                <w:rFonts w:hint="eastAsia" w:ascii="宋体" w:hAnsi="宋体" w:cs="宋体"/>
                <w:sz w:val="21"/>
                <w:szCs w:val="21"/>
              </w:rPr>
              <w:t>应急管理局</w:t>
            </w:r>
          </w:p>
        </w:tc>
        <w:tc>
          <w:tcPr>
            <w:tcW w:w="2169" w:type="pct"/>
            <w:vMerge w:val="continue"/>
            <w:tcBorders>
              <w:tl2br w:val="nil"/>
              <w:tr2bl w:val="nil"/>
            </w:tcBorders>
            <w:vAlign w:val="center"/>
          </w:tcPr>
          <w:p w14:paraId="20C44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48DA1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3A5921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vMerge w:val="continue"/>
            <w:tcBorders>
              <w:tl2br w:val="nil"/>
              <w:tr2bl w:val="nil"/>
            </w:tcBorders>
            <w:vAlign w:val="center"/>
          </w:tcPr>
          <w:p w14:paraId="23755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1898" w:type="pct"/>
            <w:tcBorders>
              <w:tl2br w:val="nil"/>
              <w:tr2bl w:val="nil"/>
            </w:tcBorders>
            <w:vAlign w:val="center"/>
          </w:tcPr>
          <w:p w14:paraId="017AB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区消防救援大队</w:t>
            </w:r>
          </w:p>
        </w:tc>
        <w:tc>
          <w:tcPr>
            <w:tcW w:w="2169" w:type="pct"/>
            <w:vMerge w:val="continue"/>
            <w:tcBorders>
              <w:tl2br w:val="nil"/>
              <w:tr2bl w:val="nil"/>
            </w:tcBorders>
            <w:vAlign w:val="center"/>
          </w:tcPr>
          <w:p w14:paraId="5CBBD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35F075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4" w:hRule="atLeast"/>
          <w:jc w:val="center"/>
        </w:trPr>
        <w:tc>
          <w:tcPr>
            <w:tcW w:w="653" w:type="pct"/>
            <w:vMerge w:val="restart"/>
            <w:tcBorders>
              <w:tl2br w:val="nil"/>
              <w:tr2bl w:val="nil"/>
            </w:tcBorders>
            <w:vAlign w:val="center"/>
          </w:tcPr>
          <w:p w14:paraId="657CC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应急监测组</w:t>
            </w:r>
          </w:p>
        </w:tc>
        <w:tc>
          <w:tcPr>
            <w:tcW w:w="278" w:type="pct"/>
            <w:tcBorders>
              <w:tl2br w:val="nil"/>
              <w:tr2bl w:val="nil"/>
            </w:tcBorders>
            <w:vAlign w:val="center"/>
          </w:tcPr>
          <w:p w14:paraId="10595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0D10FD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市生态环境局武陵源分局</w:t>
            </w:r>
          </w:p>
        </w:tc>
        <w:tc>
          <w:tcPr>
            <w:tcW w:w="2169" w:type="pct"/>
            <w:vMerge w:val="restart"/>
            <w:tcBorders>
              <w:tl2br w:val="nil"/>
              <w:tr2bl w:val="nil"/>
            </w:tcBorders>
            <w:vAlign w:val="center"/>
          </w:tcPr>
          <w:p w14:paraId="5E319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（1）负责制定应急监测方案；</w:t>
            </w:r>
          </w:p>
          <w:p w14:paraId="3E3EA0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（2）负责在污染带上游、下游分别设置断面进行应急监测；</w:t>
            </w:r>
          </w:p>
          <w:p w14:paraId="30707D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（3）负责应急期间的水源地、供水单位和管网末梢水的水质监测。</w:t>
            </w:r>
          </w:p>
        </w:tc>
      </w:tr>
      <w:tr w14:paraId="1A1911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4D5FE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tcBorders>
              <w:tl2br w:val="nil"/>
              <w:tr2bl w:val="nil"/>
            </w:tcBorders>
            <w:vAlign w:val="center"/>
          </w:tcPr>
          <w:p w14:paraId="6E8959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326288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区农业农村水利局</w:t>
            </w:r>
          </w:p>
        </w:tc>
        <w:tc>
          <w:tcPr>
            <w:tcW w:w="2169" w:type="pct"/>
            <w:vMerge w:val="continue"/>
            <w:tcBorders>
              <w:tl2br w:val="nil"/>
              <w:tr2bl w:val="nil"/>
            </w:tcBorders>
            <w:vAlign w:val="center"/>
          </w:tcPr>
          <w:p w14:paraId="50F4B2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12CEF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47A77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应急供水保障组</w:t>
            </w:r>
          </w:p>
        </w:tc>
        <w:tc>
          <w:tcPr>
            <w:tcW w:w="278" w:type="pct"/>
            <w:tcBorders>
              <w:tl2br w:val="nil"/>
              <w:tr2bl w:val="nil"/>
            </w:tcBorders>
            <w:vAlign w:val="center"/>
          </w:tcPr>
          <w:p w14:paraId="6A9AB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49285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区农业农村水利局</w:t>
            </w:r>
          </w:p>
        </w:tc>
        <w:tc>
          <w:tcPr>
            <w:tcW w:w="2169" w:type="pct"/>
            <w:vMerge w:val="restart"/>
            <w:tcBorders>
              <w:tl2br w:val="nil"/>
              <w:tr2bl w:val="nil"/>
            </w:tcBorders>
            <w:vAlign w:val="center"/>
          </w:tcPr>
          <w:p w14:paraId="3EB59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（1）负责制定应急供水保障方案；</w:t>
            </w:r>
          </w:p>
          <w:p w14:paraId="6A2B2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（2）负责指导供水单位启动</w:t>
            </w:r>
            <w:r>
              <w:rPr>
                <w:rFonts w:hint="eastAsia" w:ascii="宋体" w:hAnsi="宋体" w:cs="宋体"/>
                <w:sz w:val="21"/>
                <w:szCs w:val="21"/>
                <w:lang w:val="en-US" w:eastAsia="zh-CN"/>
              </w:rPr>
              <w:t>应急处理</w:t>
            </w:r>
            <w:r>
              <w:rPr>
                <w:rFonts w:hint="eastAsia" w:ascii="宋体" w:hAnsi="宋体" w:cs="宋体"/>
                <w:sz w:val="21"/>
                <w:szCs w:val="21"/>
              </w:rPr>
              <w:t>设施或备用水源以及应急供水车等措施，保障居民用水。</w:t>
            </w:r>
          </w:p>
        </w:tc>
      </w:tr>
      <w:tr w14:paraId="5D3A2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37C13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vMerge w:val="restart"/>
            <w:tcBorders>
              <w:tl2br w:val="nil"/>
              <w:tr2bl w:val="nil"/>
            </w:tcBorders>
            <w:vAlign w:val="center"/>
          </w:tcPr>
          <w:p w14:paraId="290B7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2A895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武陵源区供水公司</w:t>
            </w:r>
          </w:p>
        </w:tc>
        <w:tc>
          <w:tcPr>
            <w:tcW w:w="2169" w:type="pct"/>
            <w:vMerge w:val="continue"/>
            <w:tcBorders>
              <w:tl2br w:val="nil"/>
              <w:tr2bl w:val="nil"/>
            </w:tcBorders>
            <w:vAlign w:val="center"/>
          </w:tcPr>
          <w:p w14:paraId="7BACB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5C5D4A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14068A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278" w:type="pct"/>
            <w:vMerge w:val="continue"/>
            <w:tcBorders>
              <w:tl2br w:val="nil"/>
              <w:tr2bl w:val="nil"/>
            </w:tcBorders>
            <w:vAlign w:val="center"/>
          </w:tcPr>
          <w:p w14:paraId="3BF8F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1898" w:type="pct"/>
            <w:tcBorders>
              <w:tl2br w:val="nil"/>
              <w:tr2bl w:val="nil"/>
            </w:tcBorders>
            <w:vAlign w:val="center"/>
          </w:tcPr>
          <w:p w14:paraId="36E6F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区消防救援大队</w:t>
            </w:r>
          </w:p>
        </w:tc>
        <w:tc>
          <w:tcPr>
            <w:tcW w:w="2169" w:type="pct"/>
            <w:vMerge w:val="continue"/>
            <w:tcBorders>
              <w:tl2br w:val="nil"/>
              <w:tr2bl w:val="nil"/>
            </w:tcBorders>
            <w:vAlign w:val="center"/>
          </w:tcPr>
          <w:p w14:paraId="44441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720424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015742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应急物资保障组</w:t>
            </w:r>
          </w:p>
        </w:tc>
        <w:tc>
          <w:tcPr>
            <w:tcW w:w="278" w:type="pct"/>
            <w:tcBorders>
              <w:tl2br w:val="nil"/>
              <w:tr2bl w:val="nil"/>
            </w:tcBorders>
            <w:vAlign w:val="center"/>
          </w:tcPr>
          <w:p w14:paraId="296BB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620B74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区应急管理局</w:t>
            </w:r>
          </w:p>
        </w:tc>
        <w:tc>
          <w:tcPr>
            <w:tcW w:w="2169" w:type="pct"/>
            <w:vMerge w:val="restart"/>
            <w:tcBorders>
              <w:tl2br w:val="nil"/>
              <w:tr2bl w:val="nil"/>
            </w:tcBorders>
            <w:vAlign w:val="center"/>
          </w:tcPr>
          <w:p w14:paraId="0885E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（1）负责制定应急物资保障方案；</w:t>
            </w:r>
          </w:p>
          <w:p w14:paraId="20EEE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（2）负责调配应急物资、协调运输车辆；</w:t>
            </w:r>
          </w:p>
          <w:p w14:paraId="3C497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（3）负责协调补偿征用物资、应急救援和污染物处置等费用。</w:t>
            </w:r>
          </w:p>
        </w:tc>
      </w:tr>
      <w:tr w14:paraId="4CBA45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35AB1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tcBorders>
              <w:tl2br w:val="nil"/>
              <w:tr2bl w:val="nil"/>
            </w:tcBorders>
            <w:vAlign w:val="center"/>
          </w:tcPr>
          <w:p w14:paraId="726C30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6DEF1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区城乡建设和交通运输局</w:t>
            </w:r>
          </w:p>
        </w:tc>
        <w:tc>
          <w:tcPr>
            <w:tcW w:w="2169" w:type="pct"/>
            <w:vMerge w:val="continue"/>
            <w:tcBorders>
              <w:tl2br w:val="nil"/>
              <w:tr2bl w:val="nil"/>
            </w:tcBorders>
            <w:vAlign w:val="center"/>
          </w:tcPr>
          <w:p w14:paraId="53422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2F6DC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tcBorders>
              <w:tl2br w:val="nil"/>
              <w:tr2bl w:val="nil"/>
            </w:tcBorders>
            <w:vAlign w:val="center"/>
          </w:tcPr>
          <w:p w14:paraId="71DFE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应急专家组</w:t>
            </w:r>
          </w:p>
        </w:tc>
        <w:tc>
          <w:tcPr>
            <w:tcW w:w="278" w:type="pct"/>
            <w:tcBorders>
              <w:tl2br w:val="nil"/>
              <w:tr2bl w:val="nil"/>
            </w:tcBorders>
            <w:vAlign w:val="center"/>
          </w:tcPr>
          <w:p w14:paraId="5A6D0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rPr>
              <w:t>/</w:t>
            </w:r>
          </w:p>
        </w:tc>
        <w:tc>
          <w:tcPr>
            <w:tcW w:w="1898" w:type="pct"/>
            <w:tcBorders>
              <w:tl2br w:val="nil"/>
              <w:tr2bl w:val="nil"/>
            </w:tcBorders>
            <w:vAlign w:val="center"/>
          </w:tcPr>
          <w:p w14:paraId="6AEB7E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为参谋机构，由水源地管理、水体修复、环境保护和饮水卫生安全等方面的专家组成。</w:t>
            </w:r>
          </w:p>
        </w:tc>
        <w:tc>
          <w:tcPr>
            <w:tcW w:w="2169" w:type="pct"/>
            <w:tcBorders>
              <w:tl2br w:val="nil"/>
              <w:tr2bl w:val="nil"/>
            </w:tcBorders>
            <w:vAlign w:val="center"/>
          </w:tcPr>
          <w:p w14:paraId="2908C1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为现场应急处置提供技术支持。</w:t>
            </w:r>
          </w:p>
        </w:tc>
      </w:tr>
      <w:tr w14:paraId="1C4B9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67F50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val="en-US" w:eastAsia="zh-CN"/>
              </w:rPr>
              <w:t>新闻宣传与舆情监测组</w:t>
            </w:r>
          </w:p>
        </w:tc>
        <w:tc>
          <w:tcPr>
            <w:tcW w:w="278" w:type="pct"/>
            <w:tcBorders>
              <w:tl2br w:val="nil"/>
              <w:tr2bl w:val="nil"/>
            </w:tcBorders>
            <w:vAlign w:val="center"/>
          </w:tcPr>
          <w:p w14:paraId="0B1E1A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613DE2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sz w:val="21"/>
                <w:szCs w:val="21"/>
              </w:rPr>
            </w:pPr>
            <w:r>
              <w:rPr>
                <w:rFonts w:hint="eastAsia" w:ascii="宋体" w:hAnsi="宋体" w:cs="宋体"/>
                <w:kern w:val="2"/>
                <w:sz w:val="21"/>
                <w:szCs w:val="21"/>
                <w:lang w:val="en-US" w:eastAsia="zh-CN" w:bidi="ar-SA"/>
              </w:rPr>
              <w:t>区委宣传部</w:t>
            </w:r>
          </w:p>
        </w:tc>
        <w:tc>
          <w:tcPr>
            <w:tcW w:w="2169" w:type="pct"/>
            <w:vMerge w:val="restart"/>
            <w:tcBorders>
              <w:tl2br w:val="nil"/>
              <w:tr2bl w:val="nil"/>
            </w:tcBorders>
            <w:vAlign w:val="center"/>
          </w:tcPr>
          <w:p w14:paraId="015ACA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eastAsia="宋体" w:cs="宋体"/>
                <w:sz w:val="21"/>
                <w:szCs w:val="21"/>
                <w:lang w:val="en-US" w:eastAsia="zh-CN"/>
              </w:rPr>
              <w:t>负责信息报告、信息发布和舆情应对等工作。</w:t>
            </w:r>
          </w:p>
        </w:tc>
      </w:tr>
      <w:tr w14:paraId="0148E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3F2517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278" w:type="pct"/>
            <w:tcBorders>
              <w:tl2br w:val="nil"/>
              <w:tr2bl w:val="nil"/>
            </w:tcBorders>
            <w:vAlign w:val="center"/>
          </w:tcPr>
          <w:p w14:paraId="440B9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6C7E2B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sz w:val="21"/>
                <w:szCs w:val="21"/>
              </w:rPr>
            </w:pPr>
            <w:r>
              <w:rPr>
                <w:rFonts w:hint="eastAsia" w:ascii="宋体" w:hAnsi="宋体" w:eastAsia="宋体" w:cs="宋体"/>
                <w:kern w:val="2"/>
                <w:sz w:val="21"/>
                <w:szCs w:val="21"/>
                <w:lang w:val="en-US" w:eastAsia="zh-CN" w:bidi="ar-SA"/>
              </w:rPr>
              <w:t>区融媒体中心</w:t>
            </w:r>
          </w:p>
        </w:tc>
        <w:tc>
          <w:tcPr>
            <w:tcW w:w="2169" w:type="pct"/>
            <w:vMerge w:val="continue"/>
            <w:tcBorders>
              <w:tl2br w:val="nil"/>
              <w:tr2bl w:val="nil"/>
            </w:tcBorders>
            <w:vAlign w:val="center"/>
          </w:tcPr>
          <w:p w14:paraId="46C59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bl>
    <w:p w14:paraId="26526697">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sz w:val="24"/>
          <w:szCs w:val="24"/>
        </w:rPr>
      </w:pPr>
    </w:p>
    <w:p w14:paraId="7E0577C6">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86" w:name="_Toc25990"/>
      <w:bookmarkStart w:id="87" w:name="_Toc5012"/>
      <w:bookmarkStart w:id="88" w:name="_Toc29495"/>
      <w:bookmarkStart w:id="89" w:name="_Toc11379"/>
      <w:bookmarkStart w:id="90" w:name="_Toc15609"/>
      <w:bookmarkStart w:id="91" w:name="_Toc7031"/>
      <w:bookmarkStart w:id="92" w:name="_Toc15992"/>
      <w:r>
        <w:rPr>
          <w:rFonts w:ascii="Times New Roman" w:hAnsi="Times New Roman" w:eastAsia="宋体" w:cs="Times New Roman"/>
          <w:b/>
          <w:bCs/>
          <w:kern w:val="2"/>
          <w:sz w:val="32"/>
          <w:szCs w:val="32"/>
          <w:lang w:val="en-US" w:eastAsia="zh-CN" w:bidi="ar-SA"/>
        </w:rPr>
        <w:t>2.4</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部门协调联动机制</w:t>
      </w:r>
      <w:bookmarkEnd w:id="86"/>
      <w:bookmarkEnd w:id="87"/>
      <w:bookmarkEnd w:id="88"/>
      <w:bookmarkEnd w:id="89"/>
      <w:bookmarkEnd w:id="90"/>
      <w:bookmarkEnd w:id="91"/>
      <w:bookmarkEnd w:id="92"/>
    </w:p>
    <w:p w14:paraId="356E47F4">
      <w:pPr>
        <w:bidi w:val="0"/>
      </w:pPr>
      <w:r>
        <w:t>为有效整合卸甲峪水库饮用水水源保护区现有的突发环境事件应急处置力量，建立统一完善的突发环境事件应急处置指挥协调体系，密切各部门在突发环境事件应急处置中协同配合、形成合力，圆满完成应急处置任务，保障公众安全，维护社会稳定，最大限度地减少人员伤亡、财产损失和社会负面影响，应建立各部门协调联动机制。</w:t>
      </w:r>
    </w:p>
    <w:p w14:paraId="53981A90">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2.4.1</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联席会议制度</w:t>
      </w:r>
    </w:p>
    <w:p w14:paraId="6331F178">
      <w:pPr>
        <w:bidi w:val="0"/>
      </w:pPr>
      <w:r>
        <w:t>建立武陵源区卸甲峪水库饮用水水源保护区突发环境事件</w:t>
      </w:r>
      <w:r>
        <w:rPr>
          <w:rFonts w:hint="eastAsia" w:eastAsia="宋体"/>
          <w:lang w:eastAsia="zh-CN"/>
        </w:rPr>
        <w:t>应急联动</w:t>
      </w:r>
      <w:r>
        <w:t>制度。联席会议每年召开一次，由武陵源区人民政府组织，武陵源区</w:t>
      </w:r>
      <w:r>
        <w:rPr>
          <w:rFonts w:hint="eastAsia"/>
        </w:rPr>
        <w:t>卸甲峪</w:t>
      </w:r>
      <w:r>
        <w:t>饮用水水源保护区突发环境事件应急工作领导小组全体成员单位参加，共同分析研究</w:t>
      </w:r>
      <w:r>
        <w:rPr>
          <w:rFonts w:hint="eastAsia"/>
        </w:rPr>
        <w:t>卸甲峪</w:t>
      </w:r>
      <w:r>
        <w:t>饮用水水源保护区在应急工作方面存在的突出问题，协调解决应急工作中的难点问题。</w:t>
      </w:r>
    </w:p>
    <w:p w14:paraId="01679473">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2.4.2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联络员制度</w:t>
      </w:r>
    </w:p>
    <w:p w14:paraId="5C0E9947">
      <w:pPr>
        <w:bidi w:val="0"/>
      </w:pPr>
      <w:r>
        <w:t>建立联络员工作制度。应急工作领导小组各成员单位各确定一名联络员，负责收集各单位的应急工作情况，反馈应急工作的建议和意见，发生突发环境事件时，各联络</w:t>
      </w:r>
      <w:r>
        <w:rPr>
          <w:rFonts w:hint="eastAsia" w:eastAsia="宋体"/>
          <w:lang w:eastAsia="zh-CN"/>
        </w:rPr>
        <w:t>员</w:t>
      </w:r>
      <w:r>
        <w:t>根据上级领导的指示，相互通知，相互预警。上班时间指令可直接下达至各职能部门负责处置，夜间或节假日指令给应急值班人员，由值班人员组织处置。如需各职能部门共同处置的，同时指令相关部门。如需协调的，及时向分管领导报告，由应急指挥中心领导协调。各职能办公室或值班人员接到应急办公室指令后，根据工作职责立即派人员在规定时间内到达现场进行处置。处置人员到达现场后应及时反馈现场情况，对特重大事故，需要增援处置力量或者多部门配合协调处理的事件，处置人员应在到达现场判明情况后报告现场情况，各联动职能部门迅速组织人员到现场进行处置。</w:t>
      </w:r>
    </w:p>
    <w:p w14:paraId="2C54F2D4">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2.4.3</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确保应急储备</w:t>
      </w:r>
    </w:p>
    <w:p w14:paraId="1FEB4C38">
      <w:pPr>
        <w:bidi w:val="0"/>
      </w:pPr>
      <w:r>
        <w:t>加强应急物资储备库建设，确保储备物资的动态管理，保证及时补充和更新。应急办公室及</w:t>
      </w:r>
      <w:r>
        <w:rPr>
          <w:rFonts w:hint="eastAsia"/>
          <w:lang w:eastAsia="zh-CN"/>
        </w:rPr>
        <w:t>市交警直属二大队</w:t>
      </w:r>
      <w:r>
        <w:t>、</w:t>
      </w:r>
      <w:r>
        <w:rPr>
          <w:rFonts w:hint="eastAsia"/>
          <w:lang w:eastAsia="zh-CN"/>
        </w:rPr>
        <w:t>区城乡建设和交通运输局</w:t>
      </w:r>
      <w:r>
        <w:t>全面负责机械车辆的紧急调用，当卸甲峪水库饮用水水源保护区突发环境事件发生后能有效保证装备机械的合理调度。</w:t>
      </w:r>
    </w:p>
    <w:p w14:paraId="37707C0E">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2.4.4</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加强监测合作</w:t>
      </w:r>
    </w:p>
    <w:p w14:paraId="11420B74">
      <w:pPr>
        <w:bidi w:val="0"/>
      </w:pPr>
      <w:r>
        <w:t>实施预防为主，加强监测管理。实现从单纯应急管理向风险管理、应急管理、危机管理相结合的应急管理转变。卸甲峪水库饮用水水源地应急系统全部实行24小时领导带班和专人值守应急制度。加强日常监管，提高风险分析评估能力，在工作中发现带有倾向性、苗头性问题，讨论研究、及时上报，有效地提高卸甲峪水库饮用水水源保护区突发环境事件的控制能力。</w:t>
      </w:r>
    </w:p>
    <w:p w14:paraId="1D9BF798">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2.4.5</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健全预警机制</w:t>
      </w:r>
    </w:p>
    <w:p w14:paraId="4BE55F93">
      <w:pPr>
        <w:bidi w:val="0"/>
      </w:pPr>
      <w:r>
        <w:t>建立联动部门一把手组成的应急联动工作组，定期召开联动工作会议，通报监管监测情况，对存在的潜伏性、矛头性问题做出分析预测，提出预警意见。</w:t>
      </w:r>
    </w:p>
    <w:p w14:paraId="12882ABA">
      <w:pPr>
        <w:keepNext/>
        <w:keepLines/>
        <w:widowControl w:val="0"/>
        <w:bidi w:val="0"/>
        <w:spacing w:before="200" w:after="100" w:line="416" w:lineRule="auto"/>
        <w:ind w:firstLine="0" w:firstLineChars="0"/>
        <w:jc w:val="both"/>
        <w:outlineLvl w:val="1"/>
        <w:rPr>
          <w:rFonts w:ascii="Cambria" w:hAnsi="Cambria" w:eastAsia="宋体" w:cs="Times New Roman"/>
          <w:b/>
          <w:bCs/>
          <w:kern w:val="2"/>
          <w:sz w:val="32"/>
          <w:szCs w:val="32"/>
          <w:lang w:val="en-US" w:eastAsia="zh-CN" w:bidi="ar-SA"/>
        </w:rPr>
      </w:pPr>
      <w:bookmarkStart w:id="93" w:name="_Toc31834"/>
      <w:bookmarkStart w:id="94" w:name="_Toc29595"/>
      <w:bookmarkStart w:id="95" w:name="_Toc7373"/>
      <w:bookmarkStart w:id="96" w:name="_Toc13236"/>
      <w:bookmarkStart w:id="97" w:name="_Toc30078"/>
      <w:bookmarkStart w:id="98" w:name="_Toc12438"/>
      <w:bookmarkStart w:id="99" w:name="_Toc9568"/>
      <w:bookmarkStart w:id="100" w:name="_Toc1056"/>
      <w:r>
        <w:rPr>
          <w:rFonts w:hint="eastAsia" w:ascii="Cambria" w:hAnsi="Cambria" w:eastAsia="宋体" w:cs="Times New Roman"/>
          <w:b/>
          <w:bCs/>
          <w:kern w:val="2"/>
          <w:sz w:val="32"/>
          <w:szCs w:val="32"/>
          <w:lang w:val="en-US" w:eastAsia="zh-CN" w:bidi="ar-SA"/>
        </w:rPr>
        <w:t>3</w:t>
      </w:r>
      <w:r>
        <w:rPr>
          <w:rFonts w:ascii="Cambria" w:hAnsi="Cambria" w:eastAsia="宋体" w:cs="Times New Roman"/>
          <w:b/>
          <w:bCs/>
          <w:kern w:val="2"/>
          <w:sz w:val="32"/>
          <w:szCs w:val="32"/>
          <w:lang w:val="en-US" w:eastAsia="zh-CN" w:bidi="ar-SA"/>
        </w:rPr>
        <w:t>、应急响应</w:t>
      </w:r>
      <w:bookmarkEnd w:id="93"/>
      <w:bookmarkEnd w:id="94"/>
      <w:bookmarkEnd w:id="95"/>
      <w:bookmarkEnd w:id="96"/>
      <w:bookmarkEnd w:id="97"/>
      <w:bookmarkEnd w:id="98"/>
      <w:bookmarkEnd w:id="99"/>
      <w:bookmarkEnd w:id="100"/>
    </w:p>
    <w:p w14:paraId="6DDF7288">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01" w:name="_Toc11485"/>
      <w:bookmarkStart w:id="102" w:name="_Toc2458"/>
      <w:bookmarkStart w:id="103" w:name="_Toc13746"/>
      <w:bookmarkStart w:id="104" w:name="_Toc3207"/>
      <w:bookmarkStart w:id="105" w:name="_Toc17525"/>
      <w:bookmarkStart w:id="106" w:name="_Toc30710"/>
      <w:bookmarkStart w:id="107" w:name="_Toc12136"/>
      <w:r>
        <w:rPr>
          <w:rFonts w:ascii="Times New Roman" w:hAnsi="Times New Roman" w:eastAsia="宋体" w:cs="Times New Roman"/>
          <w:b/>
          <w:bCs/>
          <w:kern w:val="2"/>
          <w:sz w:val="32"/>
          <w:szCs w:val="32"/>
          <w:lang w:val="en-US" w:eastAsia="zh-CN" w:bidi="ar-SA"/>
        </w:rPr>
        <w:t>3.1</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预警</w:t>
      </w:r>
      <w:bookmarkEnd w:id="101"/>
      <w:bookmarkEnd w:id="102"/>
      <w:bookmarkEnd w:id="103"/>
      <w:bookmarkEnd w:id="104"/>
      <w:bookmarkEnd w:id="105"/>
      <w:bookmarkEnd w:id="106"/>
      <w:bookmarkEnd w:id="107"/>
    </w:p>
    <w:p w14:paraId="6277BC20">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3.1.1</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预警分级</w:t>
      </w:r>
    </w:p>
    <w:p w14:paraId="3F0E1D35">
      <w:pPr>
        <w:bidi w:val="0"/>
      </w:pPr>
      <w:r>
        <w:t>卸甲峪水库饮用水水源在突发环境事件中，预警等级分为二级，具体为橙色二级预警和红色一级预警。</w:t>
      </w:r>
    </w:p>
    <w:p w14:paraId="02B5E1AE">
      <w:pPr>
        <w:bidi w:val="0"/>
        <w:rPr>
          <w:rFonts w:hint="default"/>
        </w:rPr>
      </w:pPr>
      <w:r>
        <w:rPr>
          <w:rFonts w:hint="default"/>
        </w:rPr>
        <w:t>当污染物迁移至水源地应急预案适用的地域范围，但水源保护区或其连接水体尚未受到污染，或是污染物已进入水源保护区上游连接水体，但应急专家组研判认为对水源地水质影响可能较小、可能不影响取水时，为橙色预警；当污染物已进入（或出现在）水源保护区或其上游连接水体，且应急专家组研判认为对水源地水质影响可能较大时、可能影响取水时，为红色预警。</w:t>
      </w:r>
    </w:p>
    <w:p w14:paraId="21419AAA">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3.1.2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预警的启动条件</w:t>
      </w:r>
    </w:p>
    <w:p w14:paraId="48BB065B">
      <w:pPr>
        <w:bidi w:val="0"/>
      </w:pPr>
      <w:r>
        <w:t>红色一级预警，在下列情形中可作为预警启动条件：</w:t>
      </w:r>
    </w:p>
    <w:p w14:paraId="2FCD69DF">
      <w:pPr>
        <w:bidi w:val="0"/>
      </w:pPr>
      <w:r>
        <w:t>（1）通过信息报告发现，在卸甲峪水库饮用水水源地一级保护区内发生突发环境事件。</w:t>
      </w:r>
    </w:p>
    <w:p w14:paraId="0ACB0031">
      <w:pPr>
        <w:bidi w:val="0"/>
      </w:pPr>
      <w:r>
        <w:t>（2）通过信息报告发现，卸甲峪水库饮用水水源地保护区内发生突发火灾突发环境事件。</w:t>
      </w:r>
    </w:p>
    <w:p w14:paraId="6C8914A0">
      <w:pPr>
        <w:bidi w:val="0"/>
      </w:pPr>
      <w:r>
        <w:t>（3）通过监测发现，水源保护区水体理化指标异常，主要异常现象包括：</w:t>
      </w:r>
    </w:p>
    <w:p w14:paraId="7B5D2F5D">
      <w:pPr>
        <w:bidi w:val="0"/>
      </w:pPr>
      <w:r>
        <w:t>在保护区内，出现水质监测指标超标</w:t>
      </w:r>
      <w:r>
        <w:rPr>
          <w:rFonts w:hint="eastAsia"/>
        </w:rPr>
        <w:t>3倍及</w:t>
      </w:r>
      <w:r>
        <w:t>以上</w:t>
      </w:r>
      <w:r>
        <w:rPr>
          <w:rFonts w:hint="eastAsia"/>
        </w:rPr>
        <w:t>的（总氮除外）、有毒有害物质</w:t>
      </w:r>
      <w:r>
        <w:t>或生物综合毒性异常，经实验室</w:t>
      </w:r>
      <w:r>
        <w:rPr>
          <w:rFonts w:hint="eastAsia" w:eastAsia="宋体"/>
          <w:lang w:eastAsia="zh-CN"/>
        </w:rPr>
        <w:t>检</w:t>
      </w:r>
      <w:r>
        <w:t>（复）测确认的；</w:t>
      </w:r>
    </w:p>
    <w:p w14:paraId="2C3895B8">
      <w:pPr>
        <w:bidi w:val="0"/>
      </w:pPr>
      <w:r>
        <w:rPr>
          <w:rFonts w:hint="eastAsia"/>
        </w:rPr>
        <w:t>（4）</w:t>
      </w:r>
      <w:r>
        <w:t>通过监测发现，水源保护区或水体感官性状异常，即水体出现异常颜色或气味。</w:t>
      </w:r>
    </w:p>
    <w:p w14:paraId="70E143CF">
      <w:pPr>
        <w:bidi w:val="0"/>
      </w:pPr>
      <w:r>
        <w:rPr>
          <w:rFonts w:hint="eastAsia"/>
        </w:rPr>
        <w:t>（5）</w:t>
      </w:r>
      <w:r>
        <w:t>通过监测发现，水源保护区水体生态指标异常，即水面出现大面积死鱼或生物综合毒性异常并经实验室监测确定。</w:t>
      </w:r>
    </w:p>
    <w:p w14:paraId="4A3CA71D">
      <w:pPr>
        <w:bidi w:val="0"/>
      </w:pPr>
      <w:r>
        <w:t>橙色二级预警，在下列情形中可作为预警启动条件：</w:t>
      </w:r>
    </w:p>
    <w:p w14:paraId="6F78CA81">
      <w:pPr>
        <w:bidi w:val="0"/>
      </w:pPr>
      <w:r>
        <w:t>（1）通过信息报告发现，在</w:t>
      </w:r>
      <w:r>
        <w:rPr>
          <w:rFonts w:hint="eastAsia"/>
        </w:rPr>
        <w:t>卸甲峪</w:t>
      </w:r>
      <w:r>
        <w:t>饮用水水源地汇水范围外发生突发环境事件，并可能对水源地造成影响。</w:t>
      </w:r>
    </w:p>
    <w:p w14:paraId="0755FF86">
      <w:pPr>
        <w:bidi w:val="0"/>
      </w:pPr>
      <w:r>
        <w:t>（2）</w:t>
      </w:r>
      <w:r>
        <w:rPr>
          <w:rFonts w:hint="eastAsia"/>
        </w:rPr>
        <w:t>根据水质监测，</w:t>
      </w:r>
      <w:r>
        <w:t>供水水厂取水水质超标1倍以上3倍以下</w:t>
      </w:r>
      <w:r>
        <w:rPr>
          <w:rFonts w:hint="eastAsia"/>
        </w:rPr>
        <w:t>（总氮除外）</w:t>
      </w:r>
      <w:r>
        <w:t>。</w:t>
      </w:r>
    </w:p>
    <w:p w14:paraId="3592FABF">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3.1.3</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发布预警和预警级别调整</w:t>
      </w:r>
    </w:p>
    <w:p w14:paraId="295BF956">
      <w:pPr>
        <w:bidi w:val="0"/>
      </w:pPr>
      <w:r>
        <w:t>在卸甲峪水库饮用水水源地突发环境事件中，现场应急总指挥在接收到事件实时信息，并根据专家意见对信息进行研判，根据事件达到的预警级别条件发布相应的预警。</w:t>
      </w:r>
    </w:p>
    <w:p w14:paraId="24F799CB">
      <w:pPr>
        <w:bidi w:val="0"/>
      </w:pPr>
      <w:r>
        <w:t>在预警信息发布后，可根据事态发展，采取措施的效果，适时地调整预警级别并再次发布。</w:t>
      </w:r>
    </w:p>
    <w:p w14:paraId="26FD8781">
      <w:pPr>
        <w:bidi w:val="0"/>
      </w:pPr>
      <w:r>
        <w:t>预警发布的对象，主要针对组织实施预警行动和应急处置行动的部门和单位。</w:t>
      </w:r>
    </w:p>
    <w:p w14:paraId="3BA9D8DD">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3.1.4</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预警行动</w:t>
      </w:r>
    </w:p>
    <w:p w14:paraId="5B6CA85A">
      <w:pPr>
        <w:bidi w:val="0"/>
      </w:pPr>
      <w:r>
        <w:t>在卸甲峪水库饮用水水源地突发环境事件预警信息发布后，实施预警行动，应急组织指挥机构对卸甲峪水库饮用水水源地突发事故信息进行跟踪收集和研判：</w:t>
      </w:r>
    </w:p>
    <w:p w14:paraId="4989634B">
      <w:pPr>
        <w:bidi w:val="0"/>
      </w:pPr>
      <w:r>
        <w:t>预警等级为红色一级预警，应急组织机构总指挥应到达现场，成立现场应急指挥部，</w:t>
      </w:r>
      <w:r>
        <w:rPr>
          <w:rFonts w:hint="eastAsia" w:eastAsia="宋体"/>
          <w:lang w:eastAsia="zh-CN"/>
        </w:rPr>
        <w:t>组织</w:t>
      </w:r>
      <w:r>
        <w:t>应急队伍和应急人员进行先期处置；</w:t>
      </w:r>
    </w:p>
    <w:p w14:paraId="0E4E9619">
      <w:pPr>
        <w:bidi w:val="0"/>
      </w:pPr>
      <w:r>
        <w:t>预警等级为橙色二级预警，</w:t>
      </w:r>
      <w:r>
        <w:rPr>
          <w:rFonts w:hint="eastAsia"/>
          <w:lang w:eastAsia="zh-CN"/>
        </w:rPr>
        <w:t>市生态环境局武陵源分局</w:t>
      </w:r>
      <w:r>
        <w:t>、</w:t>
      </w:r>
      <w:r>
        <w:rPr>
          <w:rFonts w:hint="eastAsia"/>
          <w:lang w:val="en-US" w:eastAsia="zh-CN"/>
        </w:rPr>
        <w:t>区农业农村</w:t>
      </w:r>
      <w:r>
        <w:t>水利局等日常管理机构主管部门领导应迅速到达现场，组织应急队伍和应急人员进行先期处置，并及时向应急组织指挥机构总指挥报告。</w:t>
      </w:r>
    </w:p>
    <w:p w14:paraId="68526BCD">
      <w:pPr>
        <w:bidi w:val="0"/>
      </w:pPr>
      <w:r>
        <w:t>应急组织机构总指挥组织开展应急响应工作。按照预案</w:t>
      </w:r>
      <w:r>
        <w:rPr>
          <w:rFonts w:hint="eastAsia" w:eastAsia="宋体"/>
          <w:lang w:eastAsia="zh-CN"/>
        </w:rPr>
        <w:t>中</w:t>
      </w:r>
      <w:r>
        <w:t>应急组织机构总指挥组织开展应急响应工作。按照预案中列明的副总指挥、协调办公室、现场指挥部、专项工作组成员及名单，挑选需参加应急指挥的工作组及成员，如管理队伍、专家队伍、救援队伍等迅速组织形成应急响应队伍，及时开展以下内容。</w:t>
      </w:r>
    </w:p>
    <w:p w14:paraId="29639949">
      <w:pPr>
        <w:bidi w:val="0"/>
      </w:pPr>
      <w:r>
        <w:t>（1）下达启动水源地应急预案的命令</w:t>
      </w:r>
    </w:p>
    <w:p w14:paraId="7094ED27">
      <w:pPr>
        <w:bidi w:val="0"/>
      </w:pPr>
      <w:r>
        <w:t>（2）通知现场应急指挥部中的有关单位和人员做好应急准备，进入待命状态。</w:t>
      </w:r>
    </w:p>
    <w:p w14:paraId="172D5C6C">
      <w:pPr>
        <w:bidi w:val="0"/>
      </w:pPr>
      <w:r>
        <w:t>（3）通知</w:t>
      </w:r>
      <w:r>
        <w:rPr>
          <w:rFonts w:hint="eastAsia"/>
          <w:lang w:eastAsia="zh-CN"/>
        </w:rPr>
        <w:t>锣鼓塔水厂</w:t>
      </w:r>
      <w:r>
        <w:t>进入待命状态，做好停止取水、深度处理、低压供水或启动备用水源等准备。</w:t>
      </w:r>
    </w:p>
    <w:p w14:paraId="784FE894">
      <w:pPr>
        <w:bidi w:val="0"/>
      </w:pPr>
      <w:r>
        <w:t>（4）加强信息监控，核实突发环境事件污染来源、进入水体的污染物种类和总量、污染扩散范围等信息。</w:t>
      </w:r>
    </w:p>
    <w:p w14:paraId="7C9E5225">
      <w:pPr>
        <w:bidi w:val="0"/>
      </w:pPr>
      <w:r>
        <w:t>（5）开展应急监测或做好应急监测准备，对卸甲峪水库饮用水水源地和连接水体加强监测。</w:t>
      </w:r>
    </w:p>
    <w:p w14:paraId="3FF7F6EA">
      <w:pPr>
        <w:bidi w:val="0"/>
      </w:pPr>
      <w:r>
        <w:t>（6）做好事件信息上报和通报。</w:t>
      </w:r>
    </w:p>
    <w:p w14:paraId="7DD180F1">
      <w:pPr>
        <w:bidi w:val="0"/>
      </w:pPr>
      <w:r>
        <w:t>（7）调集所需应急物资和设备，做好应急保障。</w:t>
      </w:r>
    </w:p>
    <w:p w14:paraId="70F63EEF">
      <w:pPr>
        <w:bidi w:val="0"/>
      </w:pPr>
      <w:r>
        <w:t>（8）在危险区域设置提示或者警告标志。</w:t>
      </w:r>
    </w:p>
    <w:p w14:paraId="6E25BCE5">
      <w:pPr>
        <w:bidi w:val="0"/>
      </w:pPr>
      <w:r>
        <w:t>（9）必要时，及时通过媒体向公众发布信息。</w:t>
      </w:r>
    </w:p>
    <w:p w14:paraId="26D56A4A">
      <w:pPr>
        <w:bidi w:val="0"/>
      </w:pPr>
      <w:r>
        <w:t>（10）加强舆情监测、引导和应对工作。</w:t>
      </w:r>
    </w:p>
    <w:p w14:paraId="26F617FC">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3.1.5</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预警解除</w:t>
      </w:r>
    </w:p>
    <w:p w14:paraId="6A023F3F">
      <w:pPr>
        <w:bidi w:val="0"/>
      </w:pPr>
      <w:r>
        <w:t>预警信息发布后，应急组织指挥机构可根据事态发展情况和采取措施的效果适时调整预警状态。当判断危险已经消除时，可由应急组织指挥机构宣布解除预警，终止已经采取的有关行动和措施。</w:t>
      </w:r>
    </w:p>
    <w:p w14:paraId="4EF73BFE">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08" w:name="_Toc25127"/>
      <w:bookmarkStart w:id="109" w:name="_Toc24731"/>
      <w:bookmarkStart w:id="110" w:name="_Toc31367"/>
      <w:bookmarkStart w:id="111" w:name="_Toc23623"/>
      <w:bookmarkStart w:id="112" w:name="_Toc10671"/>
      <w:bookmarkStart w:id="113" w:name="_Toc19927"/>
      <w:bookmarkStart w:id="114" w:name="_Toc11876"/>
      <w:r>
        <w:rPr>
          <w:rFonts w:ascii="Times New Roman" w:hAnsi="Times New Roman" w:eastAsia="宋体" w:cs="Times New Roman"/>
          <w:b/>
          <w:bCs/>
          <w:kern w:val="2"/>
          <w:sz w:val="32"/>
          <w:szCs w:val="32"/>
          <w:lang w:val="en-US" w:eastAsia="zh-CN" w:bidi="ar-SA"/>
        </w:rPr>
        <w:t>3.2</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信息报告与通报</w:t>
      </w:r>
      <w:bookmarkEnd w:id="108"/>
      <w:bookmarkEnd w:id="109"/>
      <w:bookmarkEnd w:id="110"/>
      <w:bookmarkEnd w:id="111"/>
      <w:bookmarkEnd w:id="112"/>
      <w:bookmarkEnd w:id="113"/>
      <w:bookmarkEnd w:id="114"/>
    </w:p>
    <w:p w14:paraId="6E483A8C">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3.2.1</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信息报告程序</w:t>
      </w:r>
    </w:p>
    <w:p w14:paraId="0547111F">
      <w:pPr>
        <w:bidi w:val="0"/>
      </w:pPr>
      <w:r>
        <w:t>应急组织指挥机构应设立24小时应急值班室，向社会公开应急电话，随时接报突发环境事件信息，</w:t>
      </w:r>
      <w:r>
        <w:rPr>
          <w:rFonts w:hint="eastAsia" w:eastAsia="宋体"/>
          <w:lang w:eastAsia="zh-CN"/>
        </w:rPr>
        <w:t>及时</w:t>
      </w:r>
      <w:r>
        <w:t>做好下情上报，上情下达。</w:t>
      </w:r>
    </w:p>
    <w:p w14:paraId="0B53EC0C">
      <w:pPr>
        <w:bidi w:val="0"/>
      </w:pPr>
      <w:r>
        <w:t>（1）发现已经造成或可能造成卸甲峪水库水源地污染的有关人员和责任单位，应按照有关规定立</w:t>
      </w:r>
      <w:r>
        <w:rPr>
          <w:rFonts w:hint="eastAsia"/>
          <w:lang w:eastAsia="zh-CN"/>
        </w:rPr>
        <w:t>即向</w:t>
      </w:r>
      <w:r>
        <w:t>应急组织指挥机构及</w:t>
      </w:r>
      <w:r>
        <w:rPr>
          <w:rFonts w:hint="eastAsia"/>
          <w:lang w:eastAsia="zh-CN"/>
        </w:rPr>
        <w:t>市生态环境局武陵源分局</w:t>
      </w:r>
      <w:r>
        <w:t>等部门报告。</w:t>
      </w:r>
    </w:p>
    <w:p w14:paraId="2BF32CAB">
      <w:pPr>
        <w:bidi w:val="0"/>
      </w:pPr>
      <w:r>
        <w:t>（2）武陵源区人民政府有关部门在发现或得知水源地突发环境事件信息后，应立即进行核实，了解有关情况。经过核实后，第一时间向应急组织指挥机构和张家界市人民政府主管部门报告。</w:t>
      </w:r>
    </w:p>
    <w:p w14:paraId="14885A3F">
      <w:pPr>
        <w:bidi w:val="0"/>
      </w:pPr>
      <w:r>
        <w:t>（3）张家界市人民政府主管部门先于武陵源区人民政府主管部门获悉水源地突发环境事件信息的，可要求武陵源区人民政府主管部门核实并报告相应信息。</w:t>
      </w:r>
    </w:p>
    <w:p w14:paraId="431EEEF6">
      <w:pPr>
        <w:bidi w:val="0"/>
      </w:pPr>
      <w:r>
        <w:t>（4）特殊情况下，若遇到敏感事件或发生在重点地区、特殊时期，或可能演化为重大、特别重大突发环境事件的信息，有关责任单位和部门应立即向武陵源区人民政府应急组织指挥机构报告。</w:t>
      </w:r>
    </w:p>
    <w:p w14:paraId="589BAEF8">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3.2.2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信息通报程序</w:t>
      </w:r>
    </w:p>
    <w:p w14:paraId="07A4E033">
      <w:pPr>
        <w:bidi w:val="0"/>
      </w:pPr>
      <w:r>
        <w:t>对经核实的卸甲峪水库水源地突发环境事件，接报的有关部门应向武陵源区人民政府和有关部门通报。通报的部门至少应包括</w:t>
      </w:r>
      <w:r>
        <w:rPr>
          <w:rFonts w:hint="eastAsia" w:eastAsia="宋体"/>
          <w:lang w:eastAsia="zh-CN"/>
        </w:rPr>
        <w:t>生态环境</w:t>
      </w:r>
      <w:r>
        <w:t>、供水管理（住房城乡建设）、卫</w:t>
      </w:r>
      <w:r>
        <w:rPr>
          <w:rFonts w:hint="eastAsia" w:eastAsia="宋体"/>
          <w:lang w:eastAsia="zh-CN"/>
        </w:rPr>
        <w:t>健</w:t>
      </w:r>
      <w:r>
        <w:t>、水利等部门；根据水源地突发环境事件的类型和情景，还应通报消防（遇火灾爆炸）、交通（遇水上运输事故）、公安（遇火灾爆炸、道路运输事故）、</w:t>
      </w:r>
      <w:r>
        <w:rPr>
          <w:rFonts w:hint="eastAsia" w:ascii="Times New Roman" w:eastAsia="宋体"/>
          <w:lang w:val="en-US" w:eastAsia="zh-CN"/>
        </w:rPr>
        <w:t>应急管理</w:t>
      </w:r>
      <w:r>
        <w:t>、农业（遇大面积死鱼）等部门。</w:t>
      </w:r>
    </w:p>
    <w:p w14:paraId="1B9DBC88">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3.2.3</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信息报告和通报内容</w:t>
      </w:r>
    </w:p>
    <w:p w14:paraId="28609BF9">
      <w:pPr>
        <w:bidi w:val="0"/>
      </w:pPr>
      <w:r>
        <w:t>按照不同的时间节点，卸甲峪水库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14:paraId="240C89B5">
      <w:pPr>
        <w:bidi w:val="0"/>
      </w:pPr>
      <w:r>
        <w:t>（1）初报应报告水源地突发环境事件的发生时间、地点、信息来源、事件起因和性质、基本过程、主要污染物和数量、监测结果、人员伤亡情况、水源地受影响情况、事件发展趋势、处置情况、拟</w:t>
      </w:r>
      <w:r>
        <w:rPr>
          <w:rFonts w:hint="eastAsia" w:eastAsia="宋体"/>
          <w:lang w:eastAsia="zh-CN"/>
        </w:rPr>
        <w:t>采取</w:t>
      </w:r>
      <w:r>
        <w:t>的措施以及下一步工作建议等初步情况。</w:t>
      </w:r>
    </w:p>
    <w:p w14:paraId="6241A8AA">
      <w:pPr>
        <w:bidi w:val="0"/>
      </w:pPr>
      <w:r>
        <w:t>（2）续报应在初报的基础上，报告事件及有关处置措施的进展情况。</w:t>
      </w:r>
    </w:p>
    <w:p w14:paraId="326F6A14">
      <w:pPr>
        <w:bidi w:val="0"/>
      </w:pPr>
      <w:r>
        <w:t>（3）处理结果报告应在初报、续报的基础上，报告突发环境事件的处置措施、过程和结果等详细情况。</w:t>
      </w:r>
    </w:p>
    <w:p w14:paraId="22238A85">
      <w:pPr>
        <w:bidi w:val="0"/>
      </w:pPr>
      <w:r>
        <w:t>（4）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14:paraId="211EAC70">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15" w:name="_Toc20516"/>
      <w:bookmarkStart w:id="116" w:name="_Toc4515"/>
      <w:bookmarkStart w:id="117" w:name="_Toc11788"/>
      <w:bookmarkStart w:id="118" w:name="_Toc16181"/>
      <w:bookmarkStart w:id="119" w:name="_Toc30389"/>
      <w:bookmarkStart w:id="120" w:name="_Toc24856"/>
      <w:bookmarkStart w:id="121" w:name="_Toc4883"/>
      <w:r>
        <w:rPr>
          <w:rFonts w:ascii="Times New Roman" w:hAnsi="Times New Roman" w:eastAsia="宋体" w:cs="Times New Roman"/>
          <w:b/>
          <w:bCs/>
          <w:kern w:val="2"/>
          <w:sz w:val="32"/>
          <w:szCs w:val="32"/>
          <w:lang w:val="en-US" w:eastAsia="zh-CN" w:bidi="ar-SA"/>
        </w:rPr>
        <w:t>3.3</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事态研判</w:t>
      </w:r>
      <w:bookmarkEnd w:id="115"/>
      <w:bookmarkEnd w:id="116"/>
      <w:bookmarkEnd w:id="117"/>
      <w:bookmarkEnd w:id="118"/>
      <w:bookmarkEnd w:id="119"/>
      <w:bookmarkEnd w:id="120"/>
      <w:bookmarkEnd w:id="121"/>
    </w:p>
    <w:p w14:paraId="47F1883D">
      <w:pPr>
        <w:bidi w:val="0"/>
        <w:rPr>
          <w:rFonts w:hint="default"/>
        </w:rPr>
      </w:pPr>
      <w:bookmarkStart w:id="122" w:name="_Toc11565"/>
      <w:bookmarkStart w:id="123" w:name="_Toc27352"/>
      <w:bookmarkStart w:id="124" w:name="_Toc32384"/>
      <w:bookmarkStart w:id="125" w:name="_Toc11581"/>
      <w:bookmarkStart w:id="126" w:name="_Toc29314"/>
      <w:r>
        <w:rPr>
          <w:rFonts w:hint="default"/>
        </w:rPr>
        <w:t>发布预警后，由现场应急指挥部总指挥按照水源地应急预案中列明的副总指挥、协调办公室、专项工作组成员及名单，迅速组建参加应急指挥的各个工作组，跟踪开展事态研判。</w:t>
      </w:r>
    </w:p>
    <w:p w14:paraId="70285AD9">
      <w:pPr>
        <w:bidi w:val="0"/>
        <w:rPr>
          <w:rFonts w:hint="default"/>
        </w:rPr>
      </w:pPr>
      <w:r>
        <w:rPr>
          <w:rFonts w:hint="default"/>
        </w:rPr>
        <w:t>事态研判包括以下内容：事故点下游沿河水利设施工程情况、判断污染物进入水库的数量及种类性质、事故点下游水系分布（包括清洁水情况）、距离水源地取水口的距离和可能对水源地造成的危害，以及备用水源地情况。</w:t>
      </w:r>
    </w:p>
    <w:p w14:paraId="09027C5A">
      <w:pPr>
        <w:bidi w:val="0"/>
        <w:rPr>
          <w:rFonts w:hint="default"/>
        </w:rPr>
      </w:pPr>
      <w:r>
        <w:rPr>
          <w:rFonts w:hint="default"/>
        </w:rPr>
        <w:t>事态研判的结果，应作为制定和动态调整应急响应有关方案、实施应急监测、污染源排查与处置和应急处置的重要基础。</w:t>
      </w:r>
    </w:p>
    <w:p w14:paraId="1F924F93">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27" w:name="_Toc10080"/>
      <w:bookmarkStart w:id="128" w:name="_Toc22934"/>
      <w:r>
        <w:rPr>
          <w:rFonts w:ascii="Times New Roman" w:hAnsi="Times New Roman" w:eastAsia="宋体" w:cs="Times New Roman"/>
          <w:b/>
          <w:bCs/>
          <w:kern w:val="2"/>
          <w:sz w:val="32"/>
          <w:szCs w:val="32"/>
          <w:lang w:val="en-US" w:eastAsia="zh-CN" w:bidi="ar-SA"/>
        </w:rPr>
        <w:t>3.4</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应急监测</w:t>
      </w:r>
      <w:bookmarkEnd w:id="122"/>
      <w:bookmarkEnd w:id="123"/>
      <w:bookmarkEnd w:id="124"/>
      <w:bookmarkEnd w:id="125"/>
      <w:bookmarkEnd w:id="126"/>
      <w:bookmarkEnd w:id="127"/>
      <w:bookmarkEnd w:id="128"/>
    </w:p>
    <w:p w14:paraId="392EB8A6">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3.4.1</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开展应急监测程序</w:t>
      </w:r>
    </w:p>
    <w:p w14:paraId="0830EF5B">
      <w:pPr>
        <w:bidi w:val="0"/>
      </w:pPr>
      <w:r>
        <w:t>武陵源区环境监测站负责组织、实施、协调卸甲峪水库集中式饮用水源保护区突发环境事件的环境应急监测工作，当超过区环境监测站监测能力时，应及时向张家界市环境监测中心站或省级环境监测站请求协助。</w:t>
      </w:r>
    </w:p>
    <w:p w14:paraId="4DC9B8B9">
      <w:pPr>
        <w:bidi w:val="0"/>
      </w:pPr>
      <w:r>
        <w:t>依据现场实地调查，卸甲峪水库集雨范围面积较小（</w:t>
      </w:r>
      <w:r>
        <w:rPr>
          <w:rFonts w:hint="eastAsia"/>
        </w:rPr>
        <w:t>4.2534</w:t>
      </w:r>
      <w:r>
        <w:t>km</w:t>
      </w:r>
      <w:r>
        <w:rPr>
          <w:rFonts w:hint="eastAsia" w:ascii="Times New Roman" w:eastAsia="宋体"/>
          <w:vertAlign w:val="superscript"/>
          <w:lang w:val="en-US" w:eastAsia="zh-CN"/>
        </w:rPr>
        <w:t>2</w:t>
      </w:r>
      <w:r>
        <w:t>），设置应急监测点位1个：供水水厂取水口应急监测；</w:t>
      </w:r>
      <w:r>
        <w:rPr>
          <w:rFonts w:hint="eastAsia"/>
          <w:lang w:eastAsia="zh-CN"/>
        </w:rPr>
        <w:t>其他</w:t>
      </w:r>
      <w:r>
        <w:rPr>
          <w:rFonts w:hint="eastAsia" w:ascii="Times New Roman" w:eastAsia="宋体"/>
          <w:lang w:val="en-US" w:eastAsia="zh-CN"/>
        </w:rPr>
        <w:t>区域</w:t>
      </w:r>
      <w:r>
        <w:t>可根据污染类型及污染源位置增设应急监测点位。</w:t>
      </w:r>
    </w:p>
    <w:p w14:paraId="4CC447A1">
      <w:pPr>
        <w:bidi w:val="0"/>
      </w:pPr>
      <w:r>
        <w:t>应急监测的频次根据事故发生的时间而有所变化，根据污染物的状况，在事发初期应当增加频次，1小时采样一次；待摸清污染规律后可适当减少</w:t>
      </w:r>
      <w:r>
        <w:rPr>
          <w:rFonts w:hint="eastAsia" w:ascii="Times New Roman" w:eastAsia="宋体"/>
          <w:lang w:val="en-US" w:eastAsia="zh-CN"/>
        </w:rPr>
        <w:t>至</w:t>
      </w:r>
      <w:r>
        <w:t>6小时一次；应急终止后可24小时一次进行取样，至影响完全消除后方可停止取样。</w:t>
      </w:r>
    </w:p>
    <w:p w14:paraId="2617B422">
      <w:pPr>
        <w:bidi w:val="0"/>
      </w:pPr>
      <w:r>
        <w:t>事件处置中期，应根据事态发展，如上游来水量、应急处置措施效果等情况，适时调整</w:t>
      </w:r>
      <w:r>
        <w:rPr>
          <w:rFonts w:hint="eastAsia" w:eastAsia="宋体"/>
          <w:lang w:eastAsia="zh-CN"/>
        </w:rPr>
        <w:t>监测点</w:t>
      </w:r>
      <w:r>
        <w:t>位（断面）和监测频次。</w:t>
      </w:r>
    </w:p>
    <w:p w14:paraId="23129704">
      <w:pPr>
        <w:bidi w:val="0"/>
      </w:pPr>
      <w:r>
        <w:t>事件处置末期，应按照现场应急指挥部命令，停止应急监测，并向现场应急指挥部提交应急监测总结报告。</w:t>
      </w:r>
    </w:p>
    <w:p w14:paraId="2F6CF269">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3.4.2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制定应急监测方案</w:t>
      </w:r>
    </w:p>
    <w:p w14:paraId="76E9F907">
      <w:pPr>
        <w:bidi w:val="0"/>
      </w:pPr>
      <w:r>
        <w:t>应急监测重点是抓住污染带前锋、峰值位置和浓度变化，对污染带移动过程形成动态监控。当污染来源不明时，应先通过应急监测确定特征污染物</w:t>
      </w:r>
      <w:r>
        <w:rPr>
          <w:rFonts w:hint="eastAsia" w:eastAsia="宋体"/>
          <w:lang w:eastAsia="zh-CN"/>
        </w:rPr>
        <w:t>成分</w:t>
      </w:r>
      <w:r>
        <w:t>，再进行污染源排查和先期处置。</w:t>
      </w:r>
    </w:p>
    <w:p w14:paraId="20B9AB06">
      <w:pPr>
        <w:bidi w:val="0"/>
      </w:pPr>
      <w:r>
        <w:t>应急监测原则和注意事项包括以下内容：</w:t>
      </w:r>
    </w:p>
    <w:p w14:paraId="3CC730EE">
      <w:pPr>
        <w:bidi w:val="0"/>
      </w:pPr>
      <w:r>
        <w:t>（1）监测范围。应尽量涵盖卸甲峪水库突发环境事件的污染范围，并包括事件可能影响区域和污染物本底浓度的监测区域。</w:t>
      </w:r>
    </w:p>
    <w:p w14:paraId="48A63BA6">
      <w:pPr>
        <w:bidi w:val="0"/>
      </w:pPr>
      <w:r>
        <w:t>（2）监测布点和频次。以突发环境事件发生地点为中心或源头，结合水文和气象条件，在其扩散方向及可能受到影响的水源地位置合理布点，必要时在事故影响区域内水源取水口处设置监测点位（断面）。应</w:t>
      </w:r>
      <w:r>
        <w:rPr>
          <w:rFonts w:hint="eastAsia" w:eastAsia="宋体"/>
          <w:lang w:eastAsia="zh-CN"/>
        </w:rPr>
        <w:t>采取</w:t>
      </w:r>
      <w:r>
        <w:t>不同点位（断面）相同间隔时间（一般为1小时）同步采样监测方式，动态监控污染带移动过程。</w:t>
      </w:r>
    </w:p>
    <w:p w14:paraId="7D7BB4E4">
      <w:pPr>
        <w:bidi w:val="0"/>
      </w:pPr>
      <w:r>
        <w:t>①针对固定源突发环境事件，应对固定源排放口附近水域、下游水源地附近水域进行加密跟踪监测。</w:t>
      </w:r>
    </w:p>
    <w:p w14:paraId="11C23BF2">
      <w:pPr>
        <w:bidi w:val="0"/>
      </w:pPr>
      <w:r>
        <w:t>②针对流动源、非点源突发环境事件，应对事发区域下游水域、下游水源地附近进行加密跟踪监测。</w:t>
      </w:r>
    </w:p>
    <w:p w14:paraId="17F442B9">
      <w:pPr>
        <w:bidi w:val="0"/>
      </w:pPr>
      <w:r>
        <w:t>③水华灾害突发事件应对取水口不同水层进行加密跟踪监测。</w:t>
      </w:r>
    </w:p>
    <w:p w14:paraId="6ED3A63C">
      <w:pPr>
        <w:bidi w:val="0"/>
      </w:pPr>
      <w:r>
        <w:t>（3）现场采样。应制定采样计划和准备采样器材。采样量应同时满足快速</w:t>
      </w:r>
      <w:r>
        <w:rPr>
          <w:rFonts w:hint="eastAsia" w:eastAsia="宋体"/>
          <w:lang w:eastAsia="zh-CN"/>
        </w:rPr>
        <w:t>检测</w:t>
      </w:r>
      <w:r>
        <w:t>、实验室</w:t>
      </w:r>
      <w:r>
        <w:rPr>
          <w:rFonts w:hint="eastAsia" w:eastAsia="宋体"/>
          <w:lang w:eastAsia="zh-CN"/>
        </w:rPr>
        <w:t>检测</w:t>
      </w:r>
      <w:r>
        <w:t>和留样的需要。采样频次应考虑污染程度和现场水文条件，按照应急专家组的意见确定。</w:t>
      </w:r>
    </w:p>
    <w:p w14:paraId="2281244A">
      <w:pPr>
        <w:bidi w:val="0"/>
      </w:pPr>
      <w:r>
        <w:t>（4）</w:t>
      </w:r>
      <w:r>
        <w:rPr>
          <w:rFonts w:hint="eastAsia" w:eastAsia="宋体"/>
          <w:lang w:eastAsia="zh-CN"/>
        </w:rPr>
        <w:t>检测</w:t>
      </w:r>
      <w:r>
        <w:t>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w:t>
      </w:r>
    </w:p>
    <w:p w14:paraId="7C50A7D7">
      <w:pPr>
        <w:bidi w:val="0"/>
      </w:pPr>
      <w:r>
        <w:t>（5）分析方法。具备现场监测条件的监测</w:t>
      </w:r>
      <w:r>
        <w:rPr>
          <w:rFonts w:hint="eastAsia"/>
          <w:lang w:eastAsia="zh-CN"/>
        </w:rPr>
        <w:t>项目</w:t>
      </w:r>
      <w:r>
        <w:t>应尽量在现场监测。必要时，备份样品送实验室</w:t>
      </w:r>
      <w:r>
        <w:rPr>
          <w:rFonts w:hint="eastAsia" w:eastAsia="宋体"/>
          <w:lang w:eastAsia="zh-CN"/>
        </w:rPr>
        <w:t>检</w:t>
      </w:r>
      <w:r>
        <w:t>（复）测，以确认现场定性或定量</w:t>
      </w:r>
      <w:r>
        <w:rPr>
          <w:rFonts w:hint="eastAsia" w:eastAsia="宋体"/>
          <w:lang w:eastAsia="zh-CN"/>
        </w:rPr>
        <w:t>检测</w:t>
      </w:r>
      <w:r>
        <w:t>结果的准确性。</w:t>
      </w:r>
    </w:p>
    <w:p w14:paraId="65D02253">
      <w:pPr>
        <w:bidi w:val="0"/>
      </w:pPr>
      <w:r>
        <w:t>（6）监测结果与数据报告。应按照有关</w:t>
      </w:r>
      <w:r>
        <w:rPr>
          <w:rFonts w:hint="eastAsia" w:eastAsia="宋体"/>
          <w:lang w:eastAsia="zh-CN"/>
        </w:rPr>
        <w:t>检测</w:t>
      </w:r>
      <w:r>
        <w:t>技术规范进行数据处理。</w:t>
      </w:r>
      <w:r>
        <w:rPr>
          <w:rFonts w:hint="eastAsia" w:eastAsia="宋体"/>
          <w:lang w:eastAsia="zh-CN"/>
        </w:rPr>
        <w:t>检测</w:t>
      </w:r>
      <w:r>
        <w:t>结果可用定性、半定量或定量方式报出。监测结果可采用电话、传真、快报、简报、监测报告等形式第一时间报告现场应急指挥部。</w:t>
      </w:r>
    </w:p>
    <w:p w14:paraId="60F630D3">
      <w:pPr>
        <w:bidi w:val="0"/>
      </w:pPr>
      <w:r>
        <w:t>（7）</w:t>
      </w:r>
      <w:r>
        <w:rPr>
          <w:rFonts w:hint="eastAsia" w:eastAsia="宋体"/>
          <w:lang w:eastAsia="zh-CN"/>
        </w:rPr>
        <w:t>检测</w:t>
      </w:r>
      <w:r>
        <w:t>数据的质量保证。应急监测过程中的样品采集、现场监测、实验室监测、数据统计等环节，都应有质量控制措施，并对应急监测报告实行三级审核。</w:t>
      </w:r>
    </w:p>
    <w:p w14:paraId="394BDE8D">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29" w:name="_Toc14037"/>
      <w:bookmarkStart w:id="130" w:name="_Toc11441"/>
      <w:bookmarkStart w:id="131" w:name="_Toc29518"/>
      <w:bookmarkStart w:id="132" w:name="_Toc28199"/>
      <w:bookmarkStart w:id="133" w:name="_Toc21658"/>
      <w:bookmarkStart w:id="134" w:name="_Toc10852"/>
      <w:bookmarkStart w:id="135" w:name="_Toc18893"/>
      <w:r>
        <w:rPr>
          <w:rFonts w:ascii="Times New Roman" w:hAnsi="Times New Roman" w:eastAsia="宋体" w:cs="Times New Roman"/>
          <w:b/>
          <w:bCs/>
          <w:kern w:val="2"/>
          <w:sz w:val="32"/>
          <w:szCs w:val="32"/>
          <w:lang w:val="en-US" w:eastAsia="zh-CN" w:bidi="ar-SA"/>
        </w:rPr>
        <w:t>3.5</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应急处置</w:t>
      </w:r>
      <w:bookmarkEnd w:id="129"/>
      <w:bookmarkEnd w:id="130"/>
      <w:bookmarkEnd w:id="131"/>
      <w:bookmarkEnd w:id="132"/>
      <w:bookmarkEnd w:id="133"/>
      <w:bookmarkEnd w:id="134"/>
      <w:bookmarkEnd w:id="135"/>
    </w:p>
    <w:p w14:paraId="6F8F7E63">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136" w:name="_Toc519157641"/>
      <w:r>
        <w:rPr>
          <w:rFonts w:ascii="Cambria" w:hAnsi="Cambria" w:eastAsia="宋体" w:cs="Times New Roman"/>
          <w:b/>
          <w:bCs/>
          <w:kern w:val="2"/>
          <w:sz w:val="28"/>
          <w:szCs w:val="28"/>
          <w:lang w:val="en-US" w:eastAsia="zh-CN" w:bidi="ar-SA"/>
        </w:rPr>
        <w:t>3.5.1</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应急处置概述</w:t>
      </w:r>
      <w:bookmarkEnd w:id="136"/>
    </w:p>
    <w:p w14:paraId="4D617B97">
      <w:pPr>
        <w:bidi w:val="0"/>
      </w:pPr>
      <w:r>
        <w:t>在卸甲峪水库饮用水水源地应急措施启动后，综治办上报应急总指挥，并立即召集相关部门组成应急指挥部，根据不同事件情景下制定相应的现场处置方案，对相关部门进行应急处置的分工，协调指挥。</w:t>
      </w:r>
    </w:p>
    <w:p w14:paraId="30865857">
      <w:pPr>
        <w:bidi w:val="0"/>
      </w:pPr>
      <w:r>
        <w:t>首先调取风险源名录、应急物资清单、应急工程设施清单及可能建设应急工程的方案、处置技术资料和饮用水水源地应急预案及相关衔接预案等信息资料。专项工作组要根据专家组的意见，结合水质监测结果，通过事态研判，制定相应的现场应急处置方案。根据污染特征，饮用水水源地突发环境事故的污染处置措施：</w:t>
      </w:r>
    </w:p>
    <w:p w14:paraId="0462A394">
      <w:pPr>
        <w:bidi w:val="0"/>
      </w:pPr>
      <w:r>
        <w:t>（1）切断污染源头</w:t>
      </w:r>
    </w:p>
    <w:p w14:paraId="22F60885">
      <w:pPr>
        <w:bidi w:val="0"/>
      </w:pPr>
      <w:r>
        <w:t>督促指导责任单位</w:t>
      </w:r>
      <w:r>
        <w:rPr>
          <w:rFonts w:hint="eastAsia" w:eastAsia="宋体"/>
          <w:lang w:eastAsia="zh-CN"/>
        </w:rPr>
        <w:t>或</w:t>
      </w:r>
      <w:r>
        <w:t>责任人及时切断污染源头，防止危害扩大的同时。</w:t>
      </w:r>
    </w:p>
    <w:p w14:paraId="70B1A6C2">
      <w:pPr>
        <w:bidi w:val="0"/>
      </w:pPr>
      <w:r>
        <w:t>（2）控制污染水体</w:t>
      </w:r>
    </w:p>
    <w:p w14:paraId="01761F6A">
      <w:pPr>
        <w:bidi w:val="0"/>
      </w:pPr>
      <w:r>
        <w:t>在河道内启用或修建拦污坝、节制闸等措施，拦截污染物；通过导流渠将未受污染的水体导流至污染水体下游，通过分流沟等将受污染水体疏导至安全区域等措施，全面控制污染范围。在汛期等特殊时期，还应充分考虑闸坝的安全性和防洪需要。</w:t>
      </w:r>
    </w:p>
    <w:p w14:paraId="382060D4">
      <w:pPr>
        <w:bidi w:val="0"/>
      </w:pPr>
      <w:r>
        <w:t>（3）治理污染物</w:t>
      </w:r>
    </w:p>
    <w:p w14:paraId="03F325E2">
      <w:pPr>
        <w:bidi w:val="0"/>
      </w:pPr>
      <w:r>
        <w:t>根据企业、专家等的意见制定综合治污方案，经指挥部确认后实施。对于水面污染物一般采取隔离、吸附、打捞、扰动等物理方法，氧化、沉淀等化学方法，投加菌群、利用湿地生物群消解等生物方法。不同的污染物治理可以根据地形地貌流域等特点采取一种或多种方式，在最短的时间内完成污染物的削减工作。全面监控并妥善处置治污载体，防止发生二次污染。</w:t>
      </w:r>
    </w:p>
    <w:p w14:paraId="66858AAB">
      <w:pPr>
        <w:bidi w:val="0"/>
      </w:pPr>
      <w:r>
        <w:t>对于地面</w:t>
      </w:r>
      <w:r>
        <w:rPr>
          <w:rFonts w:hint="eastAsia" w:eastAsia="宋体"/>
          <w:lang w:eastAsia="zh-CN"/>
        </w:rPr>
        <w:t>泄漏</w:t>
      </w:r>
      <w:r>
        <w:t>源，首先采用强行止漏法、疏散法和窒息吸附法控制</w:t>
      </w:r>
      <w:r>
        <w:rPr>
          <w:rFonts w:hint="eastAsia" w:eastAsia="宋体"/>
          <w:lang w:eastAsia="zh-CN"/>
        </w:rPr>
        <w:t>泄漏</w:t>
      </w:r>
      <w:r>
        <w:t>源，控制</w:t>
      </w:r>
      <w:r>
        <w:rPr>
          <w:rFonts w:hint="eastAsia" w:eastAsia="宋体"/>
          <w:lang w:eastAsia="zh-CN"/>
        </w:rPr>
        <w:t>泄漏</w:t>
      </w:r>
      <w:r>
        <w:t>源后可采取围堤堵截或挖掘沟槽收容</w:t>
      </w:r>
      <w:r>
        <w:rPr>
          <w:rFonts w:hint="eastAsia" w:eastAsia="宋体"/>
          <w:lang w:eastAsia="zh-CN"/>
        </w:rPr>
        <w:t>泄漏</w:t>
      </w:r>
      <w:r>
        <w:t>物，覆盖减少泄漏物蒸发，稀释，吸附、中和、固化</w:t>
      </w:r>
      <w:r>
        <w:rPr>
          <w:rFonts w:hint="eastAsia"/>
          <w:lang w:eastAsia="zh-CN"/>
        </w:rPr>
        <w:t>泄漏</w:t>
      </w:r>
      <w:r>
        <w:t>物，并最终进行污染物收集。</w:t>
      </w:r>
    </w:p>
    <w:p w14:paraId="743AD868">
      <w:pPr>
        <w:bidi w:val="0"/>
      </w:pPr>
      <w:r>
        <w:t>（4）水华灾害突发事件应对</w:t>
      </w:r>
    </w:p>
    <w:p w14:paraId="13C0328B">
      <w:pPr>
        <w:bidi w:val="0"/>
      </w:pPr>
      <w:r>
        <w:t>对于位于一级、二级水源保护区的水华发生区域，采取藻类打捞、物理遮光、围栏堵截等方式，减少和控制藻类生长和扩散。</w:t>
      </w:r>
    </w:p>
    <w:p w14:paraId="5CF95AAE">
      <w:pPr>
        <w:bidi w:val="0"/>
      </w:pPr>
      <w:r>
        <w:t>（5）水厂应对措施</w:t>
      </w:r>
    </w:p>
    <w:p w14:paraId="6E62A076">
      <w:pPr>
        <w:bidi w:val="0"/>
      </w:pPr>
      <w:r>
        <w:t>在应急监测或事态研判过程中，发现或判定污染物已扩散至饮用水水源地，应急组织指挥机构立即协调指挥水厂应急负责人，针对不同事件类型，采取深度处理设施，或改由</w:t>
      </w:r>
      <w:r>
        <w:rPr>
          <w:rFonts w:hint="eastAsia"/>
        </w:rPr>
        <w:t>卸甲峪水库</w:t>
      </w:r>
      <w:r>
        <w:t>供水，并加强事故泄漏污染物监测，保障居民供水安全，同时水厂应急负责人应及时</w:t>
      </w:r>
      <w:r>
        <w:rPr>
          <w:rFonts w:hint="eastAsia" w:eastAsia="宋体"/>
          <w:lang w:eastAsia="zh-CN"/>
        </w:rPr>
        <w:t>地</w:t>
      </w:r>
      <w:r>
        <w:t>将监测信息反馈到应急组织指挥部。</w:t>
      </w:r>
    </w:p>
    <w:p w14:paraId="22D982FF">
      <w:pPr>
        <w:bidi w:val="0"/>
      </w:pPr>
      <w:r>
        <w:t>（6）保障饮用水安全</w:t>
      </w:r>
    </w:p>
    <w:p w14:paraId="1E081592">
      <w:pPr>
        <w:bidi w:val="0"/>
      </w:pPr>
      <w:r>
        <w:t>当水源已受到污染时，指挥部应全面启动水源地防控措施，增加监测布点和监测频次，采取隔离污水、治理污染、停止供水、启用备用水源等方法尽快消除污染威胁。同时通知相关居民停止取水、用水，通知下游供水企业停水或采取保护措施。</w:t>
      </w:r>
    </w:p>
    <w:p w14:paraId="09CC82A5">
      <w:pPr>
        <w:bidi w:val="0"/>
      </w:pPr>
      <w:r>
        <w:t>武陵源供水公司应启动取水、供水应急预案，通过加入洗消剂，用活性炭处理过高有机污染物等措施，尽量保障供水安全。根据政府指令必须停止取水，应通过减压供水、改路供水、启用备用水源等措施，保障居民供水和社会经济活动的正常运转。当饮用水供水中断后，当地政府应组织多渠道提供安全饮用水，并加大宣传和引导力度，避免群众恐慌心理。</w:t>
      </w:r>
    </w:p>
    <w:p w14:paraId="62CB5724">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3.5.2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制定现场处置方案</w:t>
      </w:r>
    </w:p>
    <w:p w14:paraId="6014AF8D">
      <w:pPr>
        <w:keepNext/>
        <w:keepLines/>
        <w:widowControl w:val="0"/>
        <w:bidi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3.5.2.1</w:t>
      </w:r>
      <w:r>
        <w:rPr>
          <w:rFonts w:hint="eastAsia" w:ascii="Times New Roman" w:hAnsi="Times New Roman" w:eastAsia="宋体" w:cs="Times New Roman"/>
          <w:b/>
          <w:bCs/>
          <w:kern w:val="2"/>
          <w:sz w:val="28"/>
          <w:szCs w:val="28"/>
          <w:lang w:val="en-US" w:eastAsia="zh-CN" w:bidi="ar-SA"/>
        </w:rPr>
        <w:t xml:space="preserve"> </w:t>
      </w:r>
      <w:r>
        <w:rPr>
          <w:rFonts w:ascii="Times New Roman" w:hAnsi="Times New Roman" w:eastAsia="宋体" w:cs="Times New Roman"/>
          <w:b/>
          <w:bCs/>
          <w:kern w:val="2"/>
          <w:sz w:val="28"/>
          <w:szCs w:val="28"/>
          <w:lang w:val="en-US" w:eastAsia="zh-CN" w:bidi="ar-SA"/>
        </w:rPr>
        <w:t>处置流程</w:t>
      </w:r>
    </w:p>
    <w:p w14:paraId="027F5346">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default"/>
          <w:lang w:eastAsia="zh-CN"/>
        </w:rPr>
        <w:drawing>
          <wp:inline distT="0" distB="0" distL="114300" distR="114300">
            <wp:extent cx="4372610" cy="7246620"/>
            <wp:effectExtent l="0" t="0" r="0" b="0"/>
            <wp:docPr id="11" name="图片 11"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流程图"/>
                    <pic:cNvPicPr>
                      <a:picLocks noChangeAspect="1"/>
                    </pic:cNvPicPr>
                  </pic:nvPicPr>
                  <pic:blipFill>
                    <a:blip r:embed="rId12"/>
                    <a:stretch>
                      <a:fillRect/>
                    </a:stretch>
                  </pic:blipFill>
                  <pic:spPr>
                    <a:xfrm>
                      <a:off x="0" y="0"/>
                      <a:ext cx="4372610" cy="7246620"/>
                    </a:xfrm>
                    <a:prstGeom prst="rect">
                      <a:avLst/>
                    </a:prstGeom>
                  </pic:spPr>
                </pic:pic>
              </a:graphicData>
            </a:graphic>
          </wp:inline>
        </w:drawing>
      </w:r>
    </w:p>
    <w:p w14:paraId="47F1B09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sz w:val="24"/>
          <w:szCs w:val="24"/>
        </w:rPr>
      </w:pPr>
      <w:bookmarkStart w:id="137" w:name="_Toc522803225"/>
      <w:r>
        <w:rPr>
          <w:rFonts w:ascii="Times New Roman" w:hAnsi="Times New Roman" w:eastAsia="宋体"/>
          <w:sz w:val="24"/>
          <w:szCs w:val="24"/>
        </w:rPr>
        <w:t>图3</w:t>
      </w:r>
      <w:r>
        <w:rPr>
          <w:rFonts w:hint="eastAsia" w:ascii="Times New Roman" w:hAnsi="Times New Roman" w:eastAsia="宋体"/>
          <w:sz w:val="24"/>
          <w:szCs w:val="24"/>
          <w:lang w:val="en-US" w:eastAsia="zh-CN"/>
        </w:rPr>
        <w:t>.5</w:t>
      </w:r>
      <w:r>
        <w:rPr>
          <w:rFonts w:ascii="Times New Roman" w:hAnsi="Times New Roman" w:eastAsia="宋体"/>
          <w:sz w:val="24"/>
          <w:szCs w:val="24"/>
        </w:rPr>
        <w:t>-1应急流程图</w:t>
      </w:r>
      <w:bookmarkEnd w:id="137"/>
    </w:p>
    <w:p w14:paraId="2C798673">
      <w:pPr>
        <w:keepNext/>
        <w:keepLines/>
        <w:widowControl w:val="0"/>
        <w:bidi w:val="0"/>
        <w:spacing w:line="377" w:lineRule="auto"/>
        <w:ind w:firstLine="0" w:firstLineChars="0"/>
        <w:jc w:val="both"/>
        <w:outlineLvl w:val="4"/>
        <w:rPr>
          <w:rFonts w:hint="default"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3.5.2.2</w:t>
      </w:r>
      <w:r>
        <w:rPr>
          <w:rFonts w:hint="eastAsia" w:ascii="Times New Roman" w:hAnsi="Times New Roman" w:eastAsia="宋体" w:cs="Times New Roman"/>
          <w:b/>
          <w:bCs/>
          <w:kern w:val="2"/>
          <w:sz w:val="28"/>
          <w:szCs w:val="28"/>
          <w:lang w:val="en-US" w:eastAsia="zh-CN" w:bidi="ar-SA"/>
        </w:rPr>
        <w:t xml:space="preserve"> </w:t>
      </w:r>
      <w:r>
        <w:rPr>
          <w:rFonts w:ascii="Times New Roman" w:hAnsi="Times New Roman" w:eastAsia="宋体" w:cs="Times New Roman"/>
          <w:b/>
          <w:bCs/>
          <w:kern w:val="2"/>
          <w:sz w:val="28"/>
          <w:szCs w:val="28"/>
          <w:lang w:val="en-US" w:eastAsia="zh-CN" w:bidi="ar-SA"/>
        </w:rPr>
        <w:t>突发流动源污染事故</w:t>
      </w:r>
      <w:r>
        <w:rPr>
          <w:rFonts w:hint="eastAsia" w:ascii="Times New Roman" w:hAnsi="Times New Roman" w:eastAsia="宋体" w:cs="Times New Roman"/>
          <w:b/>
          <w:bCs/>
          <w:kern w:val="2"/>
          <w:sz w:val="28"/>
          <w:szCs w:val="28"/>
          <w:lang w:val="en-US" w:eastAsia="zh-CN" w:bidi="ar-SA"/>
        </w:rPr>
        <w:t>情景模拟</w:t>
      </w:r>
    </w:p>
    <w:p w14:paraId="35070B4F">
      <w:pPr>
        <w:bidi w:val="0"/>
      </w:pPr>
      <w:r>
        <w:t>流动源污染事故为</w:t>
      </w:r>
      <w:r>
        <w:rPr>
          <w:rFonts w:hint="eastAsia"/>
        </w:rPr>
        <w:t>卸甲峪水库</w:t>
      </w:r>
      <w:r>
        <w:t>周边道路突发交通事故</w:t>
      </w:r>
      <w:r>
        <w:rPr>
          <w:rFonts w:hint="eastAsia" w:eastAsia="宋体"/>
          <w:lang w:eastAsia="zh-CN"/>
        </w:rPr>
        <w:t>。</w:t>
      </w:r>
      <w:r>
        <w:rPr>
          <w:rFonts w:hint="eastAsia" w:ascii="Times New Roman" w:eastAsia="宋体"/>
          <w:lang w:val="en-US" w:eastAsia="zh-CN"/>
        </w:rPr>
        <w:t>卸甲峪</w:t>
      </w:r>
      <w:r>
        <w:rPr>
          <w:rFonts w:hint="default"/>
        </w:rPr>
        <w:t>水库保护区内无大型主要交通干线通过、穿越</w:t>
      </w:r>
      <w:r>
        <w:rPr>
          <w:rFonts w:hint="eastAsia"/>
          <w:lang w:eastAsia="zh-CN"/>
        </w:rPr>
        <w:t>，以</w:t>
      </w:r>
      <w:r>
        <w:rPr>
          <w:rFonts w:hint="default"/>
          <w:lang w:eastAsia="zh-CN"/>
        </w:rPr>
        <w:t>及</w:t>
      </w:r>
      <w:r>
        <w:rPr>
          <w:rFonts w:hint="default"/>
        </w:rPr>
        <w:t>危险品运输</w:t>
      </w:r>
      <w:r>
        <w:rPr>
          <w:rFonts w:hint="default"/>
          <w:lang w:eastAsia="zh-CN"/>
        </w:rPr>
        <w:t>情况</w:t>
      </w:r>
      <w:r>
        <w:rPr>
          <w:rFonts w:hint="eastAsia" w:eastAsia="宋体"/>
          <w:lang w:eastAsia="zh-CN"/>
        </w:rPr>
        <w:t>，</w:t>
      </w:r>
      <w:r>
        <w:rPr>
          <w:rFonts w:hint="eastAsia" w:ascii="Times New Roman" w:eastAsia="宋体"/>
          <w:lang w:val="en-US" w:eastAsia="zh-CN"/>
        </w:rPr>
        <w:t>仅水库东南方向有一条道路通行机动车</w:t>
      </w:r>
      <w:r>
        <w:rPr>
          <w:rFonts w:hint="eastAsia" w:eastAsia="宋体"/>
          <w:lang w:eastAsia="zh-CN"/>
        </w:rPr>
        <w:t>。</w:t>
      </w:r>
      <w:r>
        <w:t>故</w:t>
      </w:r>
      <w:r>
        <w:rPr>
          <w:rFonts w:hint="eastAsia" w:ascii="Times New Roman" w:eastAsia="宋体"/>
          <w:lang w:val="en-US" w:eastAsia="zh-CN"/>
        </w:rPr>
        <w:t>考虑</w:t>
      </w:r>
      <w:r>
        <w:t>车辆侧翻、坠库</w:t>
      </w:r>
      <w:r>
        <w:rPr>
          <w:rFonts w:hint="eastAsia" w:eastAsia="宋体"/>
          <w:lang w:eastAsia="zh-CN"/>
        </w:rPr>
        <w:t>泄漏</w:t>
      </w:r>
      <w:r>
        <w:t>石油类污染物至</w:t>
      </w:r>
      <w:r>
        <w:rPr>
          <w:rFonts w:hint="eastAsia"/>
        </w:rPr>
        <w:t>卸甲峪水库</w:t>
      </w:r>
      <w:r>
        <w:t>及支流中，造成</w:t>
      </w:r>
      <w:r>
        <w:rPr>
          <w:rFonts w:hint="eastAsia"/>
        </w:rPr>
        <w:t>卸甲峪水库</w:t>
      </w:r>
      <w:r>
        <w:t>水质污染的事故。</w:t>
      </w:r>
    </w:p>
    <w:p w14:paraId="17DF89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sz w:val="24"/>
          <w:szCs w:val="24"/>
        </w:rPr>
      </w:pPr>
      <w:bookmarkStart w:id="138" w:name="_Toc4465_WPSOffice_Level2"/>
      <w:bookmarkStart w:id="139" w:name="_Toc513533944"/>
      <w:bookmarkStart w:id="140" w:name="_Toc27901_WPSOffice_Level2"/>
      <w:bookmarkStart w:id="141" w:name="_Toc3915_WPSOffice_Level2"/>
      <w:bookmarkStart w:id="142" w:name="_Toc3711_WPSOffice_Level2"/>
      <w:bookmarkStart w:id="143" w:name="_Toc519176886"/>
      <w:bookmarkStart w:id="144" w:name="_Toc522803226"/>
      <w:bookmarkStart w:id="145" w:name="_Toc514144431"/>
      <w:bookmarkStart w:id="146" w:name="_Toc514158766"/>
      <w:r>
        <w:rPr>
          <w:rFonts w:ascii="Times New Roman" w:hAnsi="Times New Roman" w:eastAsia="宋体"/>
          <w:sz w:val="24"/>
          <w:szCs w:val="24"/>
        </w:rPr>
        <w:t>表3</w:t>
      </w:r>
      <w:r>
        <w:rPr>
          <w:rFonts w:hint="eastAsia" w:ascii="Times New Roman" w:hAnsi="Times New Roman" w:eastAsia="宋体"/>
          <w:sz w:val="24"/>
          <w:szCs w:val="24"/>
          <w:lang w:val="en-US" w:eastAsia="zh-CN"/>
        </w:rPr>
        <w:t>.5</w:t>
      </w:r>
      <w:r>
        <w:rPr>
          <w:rFonts w:ascii="Times New Roman" w:hAnsi="Times New Roman" w:eastAsia="宋体"/>
          <w:sz w:val="24"/>
          <w:szCs w:val="24"/>
        </w:rPr>
        <w:t>-1突发流动源污染事故一览</w:t>
      </w:r>
      <w:bookmarkEnd w:id="138"/>
      <w:r>
        <w:rPr>
          <w:rFonts w:ascii="Times New Roman" w:hAnsi="Times New Roman" w:eastAsia="宋体"/>
          <w:sz w:val="24"/>
          <w:szCs w:val="24"/>
        </w:rPr>
        <w:t>表</w:t>
      </w:r>
      <w:bookmarkEnd w:id="139"/>
      <w:bookmarkEnd w:id="140"/>
      <w:bookmarkEnd w:id="141"/>
      <w:bookmarkEnd w:id="142"/>
      <w:bookmarkEnd w:id="143"/>
      <w:bookmarkEnd w:id="144"/>
      <w:bookmarkEnd w:id="145"/>
      <w:bookmarkEnd w:id="146"/>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2410"/>
        <w:gridCol w:w="3153"/>
        <w:gridCol w:w="1577"/>
      </w:tblGrid>
      <w:tr w14:paraId="0651E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pct"/>
            <w:tcBorders>
              <w:tl2br w:val="nil"/>
              <w:tr2bl w:val="nil"/>
            </w:tcBorders>
            <w:noWrap w:val="0"/>
            <w:vAlign w:val="center"/>
          </w:tcPr>
          <w:p w14:paraId="76A3AC96">
            <w:pPr>
              <w:bidi w:val="0"/>
              <w:spacing w:line="240" w:lineRule="auto"/>
              <w:ind w:left="0" w:leftChars="0" w:firstLine="0" w:firstLineChars="0"/>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序号</w:t>
            </w:r>
          </w:p>
        </w:tc>
        <w:tc>
          <w:tcPr>
            <w:tcW w:w="1414" w:type="pct"/>
            <w:tcBorders>
              <w:tl2br w:val="nil"/>
              <w:tr2bl w:val="nil"/>
            </w:tcBorders>
            <w:noWrap w:val="0"/>
            <w:vAlign w:val="center"/>
          </w:tcPr>
          <w:p w14:paraId="68583C26">
            <w:pPr>
              <w:bidi w:val="0"/>
              <w:spacing w:line="240" w:lineRule="auto"/>
              <w:ind w:left="0" w:leftChars="0" w:firstLine="0" w:firstLineChars="0"/>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事件类型</w:t>
            </w:r>
          </w:p>
        </w:tc>
        <w:tc>
          <w:tcPr>
            <w:tcW w:w="1850" w:type="pct"/>
            <w:tcBorders>
              <w:tl2br w:val="nil"/>
              <w:tr2bl w:val="nil"/>
            </w:tcBorders>
            <w:noWrap w:val="0"/>
            <w:vAlign w:val="center"/>
          </w:tcPr>
          <w:p w14:paraId="27F3523F">
            <w:pPr>
              <w:bidi w:val="0"/>
              <w:spacing w:line="240" w:lineRule="auto"/>
              <w:ind w:left="0" w:leftChars="0" w:firstLine="0" w:firstLineChars="0"/>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主要</w:t>
            </w:r>
            <w:r>
              <w:rPr>
                <w:rFonts w:hint="eastAsia" w:ascii="宋体" w:hAnsi="宋体" w:cs="宋体"/>
                <w:b/>
                <w:bCs/>
                <w:sz w:val="21"/>
                <w:szCs w:val="21"/>
                <w:lang w:val="en-US" w:eastAsia="zh-CN"/>
              </w:rPr>
              <w:t>泄漏</w:t>
            </w:r>
            <w:r>
              <w:rPr>
                <w:rFonts w:hint="default" w:ascii="宋体" w:hAnsi="宋体" w:eastAsia="宋体" w:cs="宋体"/>
                <w:b/>
                <w:bCs/>
                <w:sz w:val="21"/>
                <w:szCs w:val="21"/>
                <w:lang w:val="en-US" w:eastAsia="zh-CN"/>
              </w:rPr>
              <w:t>物种类</w:t>
            </w:r>
          </w:p>
        </w:tc>
        <w:tc>
          <w:tcPr>
            <w:tcW w:w="925" w:type="pct"/>
            <w:tcBorders>
              <w:tl2br w:val="nil"/>
              <w:tr2bl w:val="nil"/>
            </w:tcBorders>
            <w:noWrap w:val="0"/>
            <w:vAlign w:val="center"/>
          </w:tcPr>
          <w:p w14:paraId="18F646D3">
            <w:pPr>
              <w:bidi w:val="0"/>
              <w:spacing w:line="240" w:lineRule="auto"/>
              <w:ind w:left="0" w:leftChars="0" w:firstLine="0" w:firstLineChars="0"/>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影响程度</w:t>
            </w:r>
          </w:p>
        </w:tc>
      </w:tr>
      <w:tr w14:paraId="6B5C2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pct"/>
            <w:tcBorders>
              <w:tl2br w:val="nil"/>
              <w:tr2bl w:val="nil"/>
            </w:tcBorders>
            <w:noWrap w:val="0"/>
            <w:vAlign w:val="center"/>
          </w:tcPr>
          <w:p w14:paraId="09AA4271">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w:t>
            </w:r>
          </w:p>
        </w:tc>
        <w:tc>
          <w:tcPr>
            <w:tcW w:w="1414" w:type="pct"/>
            <w:tcBorders>
              <w:tl2br w:val="nil"/>
              <w:tr2bl w:val="nil"/>
            </w:tcBorders>
            <w:noWrap w:val="0"/>
            <w:vAlign w:val="center"/>
          </w:tcPr>
          <w:p w14:paraId="4AF8FA1C">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一般车辆相撞</w:t>
            </w:r>
          </w:p>
        </w:tc>
        <w:tc>
          <w:tcPr>
            <w:tcW w:w="1850" w:type="pct"/>
            <w:tcBorders>
              <w:tl2br w:val="nil"/>
              <w:tr2bl w:val="nil"/>
            </w:tcBorders>
            <w:noWrap w:val="0"/>
            <w:vAlign w:val="center"/>
          </w:tcPr>
          <w:p w14:paraId="6BC332D1">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石油类</w:t>
            </w:r>
          </w:p>
        </w:tc>
        <w:tc>
          <w:tcPr>
            <w:tcW w:w="925" w:type="pct"/>
            <w:tcBorders>
              <w:tl2br w:val="nil"/>
              <w:tr2bl w:val="nil"/>
            </w:tcBorders>
            <w:noWrap w:val="0"/>
            <w:vAlign w:val="center"/>
          </w:tcPr>
          <w:p w14:paraId="51C3BB21">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一般</w:t>
            </w:r>
          </w:p>
        </w:tc>
      </w:tr>
      <w:tr w14:paraId="46200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pct"/>
            <w:tcBorders>
              <w:tl2br w:val="nil"/>
              <w:tr2bl w:val="nil"/>
            </w:tcBorders>
            <w:noWrap w:val="0"/>
            <w:vAlign w:val="center"/>
          </w:tcPr>
          <w:p w14:paraId="4427038C">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2</w:t>
            </w:r>
          </w:p>
        </w:tc>
        <w:tc>
          <w:tcPr>
            <w:tcW w:w="1414" w:type="pct"/>
            <w:tcBorders>
              <w:tl2br w:val="nil"/>
              <w:tr2bl w:val="nil"/>
            </w:tcBorders>
            <w:noWrap w:val="0"/>
            <w:vAlign w:val="center"/>
          </w:tcPr>
          <w:p w14:paraId="579FACB7">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一般车辆路面侧翻</w:t>
            </w:r>
          </w:p>
        </w:tc>
        <w:tc>
          <w:tcPr>
            <w:tcW w:w="1850" w:type="pct"/>
            <w:tcBorders>
              <w:tl2br w:val="nil"/>
              <w:tr2bl w:val="nil"/>
            </w:tcBorders>
            <w:noWrap w:val="0"/>
            <w:vAlign w:val="center"/>
          </w:tcPr>
          <w:p w14:paraId="152AB1BC">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石油类</w:t>
            </w:r>
          </w:p>
        </w:tc>
        <w:tc>
          <w:tcPr>
            <w:tcW w:w="925" w:type="pct"/>
            <w:tcBorders>
              <w:tl2br w:val="nil"/>
              <w:tr2bl w:val="nil"/>
            </w:tcBorders>
            <w:noWrap w:val="0"/>
            <w:vAlign w:val="center"/>
          </w:tcPr>
          <w:p w14:paraId="03FCE7A7">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较严重</w:t>
            </w:r>
          </w:p>
        </w:tc>
      </w:tr>
      <w:tr w14:paraId="43793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pct"/>
            <w:tcBorders>
              <w:tl2br w:val="nil"/>
              <w:tr2bl w:val="nil"/>
            </w:tcBorders>
            <w:noWrap w:val="0"/>
            <w:vAlign w:val="center"/>
          </w:tcPr>
          <w:p w14:paraId="113D8B4D">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w:t>
            </w:r>
          </w:p>
        </w:tc>
        <w:tc>
          <w:tcPr>
            <w:tcW w:w="1414" w:type="pct"/>
            <w:tcBorders>
              <w:tl2br w:val="nil"/>
              <w:tr2bl w:val="nil"/>
            </w:tcBorders>
            <w:noWrap w:val="0"/>
            <w:vAlign w:val="center"/>
          </w:tcPr>
          <w:p w14:paraId="4573D8FC">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一般车辆坠库</w:t>
            </w:r>
          </w:p>
        </w:tc>
        <w:tc>
          <w:tcPr>
            <w:tcW w:w="1850" w:type="pct"/>
            <w:tcBorders>
              <w:tl2br w:val="nil"/>
              <w:tr2bl w:val="nil"/>
            </w:tcBorders>
            <w:noWrap w:val="0"/>
            <w:vAlign w:val="center"/>
          </w:tcPr>
          <w:p w14:paraId="0EF6839C">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石油类及其他</w:t>
            </w:r>
          </w:p>
        </w:tc>
        <w:tc>
          <w:tcPr>
            <w:tcW w:w="925" w:type="pct"/>
            <w:tcBorders>
              <w:tl2br w:val="nil"/>
              <w:tr2bl w:val="nil"/>
            </w:tcBorders>
            <w:noWrap w:val="0"/>
            <w:vAlign w:val="center"/>
          </w:tcPr>
          <w:p w14:paraId="0600E151">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严重</w:t>
            </w:r>
          </w:p>
        </w:tc>
      </w:tr>
    </w:tbl>
    <w:p w14:paraId="1A6C7DCF">
      <w:pPr>
        <w:bidi w:val="0"/>
      </w:pPr>
      <w:r>
        <w:t>针对</w:t>
      </w:r>
      <w:r>
        <w:rPr>
          <w:rFonts w:hint="eastAsia"/>
        </w:rPr>
        <w:t>卸甲峪水库</w:t>
      </w:r>
      <w:r>
        <w:t>饮用水源地周边流动源突发交通事件，造成饮用水源环境事故，事故当事人应当及时报警。</w:t>
      </w:r>
    </w:p>
    <w:p w14:paraId="1B1B2FA5">
      <w:pPr>
        <w:bidi w:val="0"/>
      </w:pPr>
      <w:r>
        <w:rPr>
          <w:rFonts w:hint="eastAsia" w:eastAsia="宋体"/>
          <w:lang w:eastAsia="zh-CN"/>
        </w:rPr>
        <w:t>市交警支队直属二大队</w:t>
      </w:r>
      <w:r>
        <w:t>、</w:t>
      </w:r>
      <w:r>
        <w:rPr>
          <w:rFonts w:hint="eastAsia"/>
          <w:lang w:eastAsia="zh-CN"/>
        </w:rPr>
        <w:t>区城乡建设和交通运输局</w:t>
      </w:r>
      <w:r>
        <w:t>、</w:t>
      </w:r>
      <w:r>
        <w:rPr>
          <w:rFonts w:hint="eastAsia"/>
          <w:lang w:eastAsia="zh-CN"/>
        </w:rPr>
        <w:t>区卫生健康局</w:t>
      </w:r>
      <w:r>
        <w:t>在接到报警后，确定流动源突发事故位置后立即到场进行事故调查及人员救治，</w:t>
      </w:r>
      <w:r>
        <w:rPr>
          <w:rFonts w:hint="eastAsia" w:eastAsia="宋体"/>
          <w:lang w:eastAsia="zh-CN"/>
        </w:rPr>
        <w:t>市交警支队直属二大队</w:t>
      </w:r>
      <w:r>
        <w:t>、</w:t>
      </w:r>
      <w:r>
        <w:rPr>
          <w:rFonts w:hint="eastAsia"/>
          <w:lang w:eastAsia="zh-CN"/>
        </w:rPr>
        <w:t>区城乡建设和交通运输局</w:t>
      </w:r>
      <w:r>
        <w:t>通过现场事故车辆大小、交通事故类型、运输物品种类、是否侧翻坠库、是否泄露等信息进行研判，如对饮用水源环境造成影响，应及时上报给</w:t>
      </w:r>
      <w:r>
        <w:rPr>
          <w:rFonts w:hint="eastAsia" w:eastAsia="宋体"/>
          <w:lang w:eastAsia="zh-CN"/>
        </w:rPr>
        <w:t>区应急管理局</w:t>
      </w:r>
      <w:r>
        <w:t>。</w:t>
      </w:r>
    </w:p>
    <w:p w14:paraId="483D1B0F">
      <w:pPr>
        <w:bidi w:val="0"/>
      </w:pPr>
      <w:r>
        <w:rPr>
          <w:rFonts w:hint="eastAsia" w:eastAsia="宋体"/>
          <w:lang w:eastAsia="zh-CN"/>
        </w:rPr>
        <w:t>区应急管理局</w:t>
      </w:r>
      <w:r>
        <w:t>接报后对上报信息进行核实及研判，如对饮用水源造成影响，达到预警的启动条件，立即上报应急指挥部，启动应急预案。应急指挥部总指挥在接到预警后，立即组成现场指挥部，召集应急办、</w:t>
      </w:r>
      <w:r>
        <w:rPr>
          <w:rFonts w:hint="eastAsia" w:eastAsia="宋体"/>
          <w:lang w:eastAsia="zh-CN"/>
        </w:rPr>
        <w:t>市交警支队直属二大队</w:t>
      </w:r>
      <w:r>
        <w:t>、</w:t>
      </w:r>
      <w:r>
        <w:rPr>
          <w:rFonts w:hint="eastAsia"/>
          <w:lang w:eastAsia="zh-CN"/>
        </w:rPr>
        <w:t>区城乡建设和交通运输局</w:t>
      </w:r>
      <w:r>
        <w:t>、</w:t>
      </w:r>
      <w:r>
        <w:rPr>
          <w:rFonts w:hint="eastAsia"/>
          <w:lang w:eastAsia="zh-CN"/>
        </w:rPr>
        <w:t>市生态环境局武陵源分局</w:t>
      </w:r>
      <w:r>
        <w:t>、</w:t>
      </w:r>
      <w:r>
        <w:rPr>
          <w:rFonts w:hint="eastAsia"/>
          <w:lang w:eastAsia="zh-CN"/>
        </w:rPr>
        <w:t>区农业农村水利局</w:t>
      </w:r>
      <w:r>
        <w:rPr>
          <w:rFonts w:hint="eastAsia" w:eastAsia="宋体"/>
          <w:lang w:eastAsia="zh-CN"/>
        </w:rPr>
        <w:t>、</w:t>
      </w:r>
      <w:r>
        <w:rPr>
          <w:rFonts w:hint="eastAsia"/>
          <w:lang w:eastAsia="zh-CN"/>
        </w:rPr>
        <w:t>区城乡建设和交通运输局</w:t>
      </w:r>
      <w:r>
        <w:rPr>
          <w:rFonts w:hint="eastAsia" w:eastAsia="宋体"/>
          <w:lang w:eastAsia="zh-CN"/>
        </w:rPr>
        <w:t>、</w:t>
      </w:r>
      <w:r>
        <w:t>消防部门、</w:t>
      </w:r>
      <w:r>
        <w:rPr>
          <w:rFonts w:hint="eastAsia"/>
          <w:lang w:eastAsia="zh-CN"/>
        </w:rPr>
        <w:t>区卫生健康局</w:t>
      </w:r>
      <w:r>
        <w:t>、</w:t>
      </w:r>
      <w:r>
        <w:rPr>
          <w:rFonts w:hint="eastAsia" w:eastAsia="宋体"/>
          <w:lang w:eastAsia="zh-CN"/>
        </w:rPr>
        <w:t>气象监测部门</w:t>
      </w:r>
      <w:r>
        <w:t>、</w:t>
      </w:r>
      <w:r>
        <w:rPr>
          <w:rFonts w:hint="eastAsia" w:eastAsia="宋体"/>
          <w:lang w:eastAsia="zh-CN"/>
        </w:rPr>
        <w:t>区融媒体中心</w:t>
      </w:r>
      <w:r>
        <w:t>、</w:t>
      </w:r>
      <w:r>
        <w:rPr>
          <w:rFonts w:hint="eastAsia"/>
          <w:lang w:eastAsia="zh-CN"/>
        </w:rPr>
        <w:t>锣鼓塔水厂</w:t>
      </w:r>
      <w:r>
        <w:t>所组成应急组对事故进行处理。</w:t>
      </w:r>
    </w:p>
    <w:p w14:paraId="5102E94F">
      <w:pPr>
        <w:bidi w:val="0"/>
      </w:pPr>
      <w:r>
        <w:t>应急处置组主要由</w:t>
      </w:r>
      <w:r>
        <w:rPr>
          <w:rFonts w:hint="eastAsia" w:eastAsia="宋体"/>
          <w:lang w:eastAsia="zh-CN"/>
        </w:rPr>
        <w:t>区应急管理局</w:t>
      </w:r>
      <w:r>
        <w:rPr>
          <w:rFonts w:hint="eastAsia"/>
          <w:lang w:val="en-US" w:eastAsia="zh-CN"/>
        </w:rPr>
        <w:t>和区城乡建设和交通运输局负责，</w:t>
      </w:r>
      <w:r>
        <w:rPr>
          <w:rFonts w:hint="eastAsia"/>
          <w:lang w:eastAsia="zh-CN"/>
        </w:rPr>
        <w:t>锣鼓塔水厂</w:t>
      </w:r>
      <w:r>
        <w:rPr>
          <w:rFonts w:hint="eastAsia" w:ascii="Times New Roman" w:eastAsia="宋体"/>
          <w:lang w:val="en-US" w:eastAsia="zh-CN"/>
        </w:rPr>
        <w:t>以及</w:t>
      </w:r>
      <w:r>
        <w:rPr>
          <w:rFonts w:hint="eastAsia"/>
          <w:lang w:eastAsia="zh-CN"/>
        </w:rPr>
        <w:t>区农业农村水利局</w:t>
      </w:r>
      <w:r>
        <w:rPr>
          <w:rFonts w:hint="eastAsia"/>
          <w:lang w:val="en-US" w:eastAsia="zh-CN"/>
        </w:rPr>
        <w:t>负责职责范围内的相关应急处置工作</w:t>
      </w:r>
      <w:r>
        <w:t>。</w:t>
      </w:r>
    </w:p>
    <w:p w14:paraId="6F287C6F">
      <w:pPr>
        <w:bidi w:val="0"/>
      </w:pPr>
      <w:r>
        <w:rPr>
          <w:rFonts w:hint="eastAsia"/>
          <w:lang w:val="en-US" w:eastAsia="zh-CN"/>
        </w:rPr>
        <w:t>区城乡建设和交通运输局</w:t>
      </w:r>
      <w:r>
        <w:t>及时打捞、搬运侧翻、坠库车辆，对路面所泄露的污染物进行设置围堰，对桥面泄露污染物，设置桥面导流沟及临时应急池或围堰，禁止污染物排入水库。</w:t>
      </w:r>
    </w:p>
    <w:p w14:paraId="09EF86AD">
      <w:pPr>
        <w:bidi w:val="0"/>
      </w:pPr>
      <w:r>
        <w:rPr>
          <w:rFonts w:hint="eastAsia" w:eastAsia="宋体"/>
          <w:lang w:eastAsia="zh-CN"/>
        </w:rPr>
        <w:t>区应急管理局</w:t>
      </w:r>
      <w:r>
        <w:t>根据车辆</w:t>
      </w:r>
      <w:r>
        <w:rPr>
          <w:rFonts w:hint="eastAsia" w:eastAsia="宋体"/>
          <w:lang w:eastAsia="zh-CN"/>
        </w:rPr>
        <w:t>泄漏</w:t>
      </w:r>
      <w:r>
        <w:t>污染物情况，联合</w:t>
      </w:r>
      <w:r>
        <w:rPr>
          <w:rFonts w:hint="eastAsia"/>
          <w:lang w:eastAsia="zh-CN"/>
        </w:rPr>
        <w:t>市生态环境局武陵源分局</w:t>
      </w:r>
      <w:r>
        <w:t>、</w:t>
      </w:r>
      <w:r>
        <w:rPr>
          <w:rFonts w:hint="eastAsia"/>
          <w:lang w:eastAsia="zh-CN"/>
        </w:rPr>
        <w:t>区农业农村水利局</w:t>
      </w:r>
      <w:r>
        <w:t>、</w:t>
      </w:r>
      <w:r>
        <w:rPr>
          <w:rFonts w:hint="eastAsia" w:eastAsia="宋体"/>
          <w:lang w:eastAsia="zh-CN"/>
        </w:rPr>
        <w:t>市交警支队直属二大队</w:t>
      </w:r>
      <w:r>
        <w:t>、</w:t>
      </w:r>
      <w:r>
        <w:rPr>
          <w:rFonts w:hint="eastAsia"/>
          <w:lang w:eastAsia="zh-CN"/>
        </w:rPr>
        <w:t>区城乡建设和交通运输局</w:t>
      </w:r>
      <w:r>
        <w:t>及危险化学品运输相关企业等多部门，进行相应的处置。</w:t>
      </w:r>
    </w:p>
    <w:p w14:paraId="042551C2">
      <w:pPr>
        <w:bidi w:val="0"/>
      </w:pPr>
      <w:r>
        <w:t>若在水库上游支流发生交通事故，</w:t>
      </w:r>
      <w:r>
        <w:rPr>
          <w:rFonts w:hint="eastAsia"/>
          <w:lang w:eastAsia="zh-CN"/>
        </w:rPr>
        <w:t>区农业农村水利局</w:t>
      </w:r>
      <w:r>
        <w:t>根据车辆</w:t>
      </w:r>
      <w:r>
        <w:rPr>
          <w:rFonts w:hint="eastAsia" w:eastAsia="宋体"/>
          <w:lang w:eastAsia="zh-CN"/>
        </w:rPr>
        <w:t>泄漏</w:t>
      </w:r>
      <w:r>
        <w:t>情况，采用麻袋装土等工具，对河流水面污染区采取设置围堰、围油栏、闸坝拦截等方式，防止污染物的进一步扩散，同时针对车辆泄露石油类污染物采用油毡或吸油棉进行吸附处理，针对其他危险物品泄露，采取相应的技术方法进行处理。</w:t>
      </w:r>
    </w:p>
    <w:p w14:paraId="01681DCB">
      <w:pPr>
        <w:bidi w:val="0"/>
      </w:pPr>
      <w:r>
        <w:t>若在水库附近发生交通事故，</w:t>
      </w:r>
      <w:r>
        <w:rPr>
          <w:rFonts w:hint="eastAsia"/>
          <w:lang w:eastAsia="zh-CN"/>
        </w:rPr>
        <w:t>区农业农村水利局</w:t>
      </w:r>
      <w:r>
        <w:t>根据</w:t>
      </w:r>
      <w:r>
        <w:rPr>
          <w:rFonts w:hint="eastAsia" w:eastAsia="宋体"/>
          <w:lang w:eastAsia="zh-CN"/>
        </w:rPr>
        <w:t>石油泄漏</w:t>
      </w:r>
      <w:r>
        <w:t>情况，对水库水面污染区设置围油栏拦截等方式，</w:t>
      </w:r>
      <w:r>
        <w:rPr>
          <w:rFonts w:hint="eastAsia" w:eastAsia="宋体"/>
          <w:lang w:eastAsia="zh-CN"/>
        </w:rPr>
        <w:t>防止</w:t>
      </w:r>
      <w:r>
        <w:t>污染物进一步扩散，同时针对</w:t>
      </w:r>
      <w:r>
        <w:rPr>
          <w:rFonts w:hint="eastAsia" w:eastAsia="宋体"/>
          <w:lang w:eastAsia="zh-CN"/>
        </w:rPr>
        <w:t>泄漏</w:t>
      </w:r>
      <w:r>
        <w:t>石油类污染物采用吸油毡或吸油棉进行吸附处理。</w:t>
      </w:r>
    </w:p>
    <w:p w14:paraId="68B789CC">
      <w:pPr>
        <w:bidi w:val="0"/>
      </w:pPr>
      <w:r>
        <w:rPr>
          <w:rFonts w:hint="eastAsia"/>
          <w:lang w:eastAsia="zh-CN"/>
        </w:rPr>
        <w:t>锣鼓塔水厂</w:t>
      </w:r>
      <w:r>
        <w:rPr>
          <w:rFonts w:hint="eastAsia"/>
          <w:lang w:val="en-US" w:eastAsia="zh-CN"/>
        </w:rPr>
        <w:t>配合</w:t>
      </w:r>
      <w:r>
        <w:t>相关部门进行</w:t>
      </w:r>
      <w:r>
        <w:rPr>
          <w:rFonts w:hint="eastAsia"/>
          <w:lang w:val="en-US" w:eastAsia="zh-CN"/>
        </w:rPr>
        <w:t>现场的</w:t>
      </w:r>
      <w:r>
        <w:t>应急处置工作。</w:t>
      </w:r>
    </w:p>
    <w:p w14:paraId="36190989">
      <w:pPr>
        <w:bidi w:val="0"/>
      </w:pPr>
      <w:r>
        <w:t>应急监测组主要由</w:t>
      </w:r>
      <w:r>
        <w:rPr>
          <w:rFonts w:hint="eastAsia"/>
          <w:lang w:eastAsia="zh-CN"/>
        </w:rPr>
        <w:t>市生态环境局武陵源分局</w:t>
      </w:r>
      <w:r>
        <w:rPr>
          <w:rFonts w:hint="eastAsia" w:eastAsia="宋体"/>
          <w:lang w:eastAsia="zh-CN"/>
        </w:rPr>
        <w:t>、</w:t>
      </w:r>
      <w:r>
        <w:rPr>
          <w:rFonts w:hint="eastAsia"/>
          <w:lang w:val="en-US" w:eastAsia="zh-CN"/>
        </w:rPr>
        <w:t>区卫生健康局</w:t>
      </w:r>
      <w:r>
        <w:t>及</w:t>
      </w:r>
      <w:r>
        <w:rPr>
          <w:rFonts w:hint="eastAsia"/>
          <w:lang w:eastAsia="zh-CN"/>
        </w:rPr>
        <w:t>区农业农村水利局</w:t>
      </w:r>
      <w:r>
        <w:t>负责。</w:t>
      </w:r>
    </w:p>
    <w:p w14:paraId="7DB8F324">
      <w:pPr>
        <w:bidi w:val="0"/>
      </w:pPr>
      <w:r>
        <w:rPr>
          <w:rFonts w:hint="eastAsia"/>
          <w:lang w:eastAsia="zh-CN"/>
        </w:rPr>
        <w:t>市生态环境局武陵源分局</w:t>
      </w:r>
      <w:r>
        <w:t>根据交通事故位置、事故大小、事故</w:t>
      </w:r>
      <w:r>
        <w:rPr>
          <w:rFonts w:hint="eastAsia" w:eastAsia="宋体"/>
          <w:lang w:eastAsia="zh-CN"/>
        </w:rPr>
        <w:t>泄漏</w:t>
      </w:r>
      <w:r>
        <w:t>物种类，在污染团上、下游分别设置断面进行初步监测，监测因子主要为石油类及运输危险物种类，并将监测结果及时上报给现场指挥部，为现场指挥部及水厂应对决策提供依据；</w:t>
      </w:r>
    </w:p>
    <w:p w14:paraId="358A0283">
      <w:pPr>
        <w:bidi w:val="0"/>
      </w:pPr>
      <w:r>
        <w:rPr>
          <w:rFonts w:hint="eastAsia"/>
          <w:lang w:eastAsia="zh-CN"/>
        </w:rPr>
        <w:t>区农业农村水利局</w:t>
      </w:r>
      <w:r>
        <w:t>负责</w:t>
      </w:r>
      <w:r>
        <w:rPr>
          <w:rFonts w:hint="eastAsia"/>
        </w:rPr>
        <w:t>卸甲峪水库</w:t>
      </w:r>
      <w:r>
        <w:t>水文情况的监测；</w:t>
      </w:r>
    </w:p>
    <w:p w14:paraId="22CD169F">
      <w:pPr>
        <w:bidi w:val="0"/>
        <w:rPr>
          <w:rFonts w:hint="eastAsia" w:eastAsia="宋体"/>
          <w:lang w:eastAsia="zh-CN"/>
        </w:rPr>
      </w:pPr>
      <w:r>
        <w:rPr>
          <w:rFonts w:hint="eastAsia"/>
          <w:lang w:eastAsia="zh-CN"/>
        </w:rPr>
        <w:t>区卫生健康局</w:t>
      </w:r>
      <w:r>
        <w:t>负责事故人员救治工作，同时负责水厂出水水质的监测</w:t>
      </w:r>
      <w:r>
        <w:rPr>
          <w:rFonts w:hint="eastAsia" w:eastAsia="宋体"/>
          <w:lang w:eastAsia="zh-CN"/>
        </w:rPr>
        <w:t>；</w:t>
      </w:r>
    </w:p>
    <w:p w14:paraId="7800F514">
      <w:pPr>
        <w:bidi w:val="0"/>
      </w:pPr>
      <w:r>
        <w:rPr>
          <w:rFonts w:hint="eastAsia" w:eastAsia="宋体"/>
          <w:lang w:eastAsia="zh-CN"/>
        </w:rPr>
        <w:t>气象监测部门</w:t>
      </w:r>
      <w:r>
        <w:t>负责资源卫星的分析和气象要素的监测。</w:t>
      </w:r>
    </w:p>
    <w:p w14:paraId="0EC8273C">
      <w:pPr>
        <w:bidi w:val="0"/>
      </w:pPr>
      <w:r>
        <w:t>应急供水保障组主要由</w:t>
      </w:r>
      <w:r>
        <w:rPr>
          <w:rFonts w:hint="eastAsia" w:ascii="Times New Roman" w:eastAsia="宋体"/>
          <w:lang w:val="en-US" w:eastAsia="zh-CN"/>
        </w:rPr>
        <w:t>武陵源供水公司、</w:t>
      </w:r>
      <w:r>
        <w:rPr>
          <w:rFonts w:hint="eastAsia"/>
          <w:lang w:eastAsia="zh-CN"/>
        </w:rPr>
        <w:t>锣鼓塔水厂</w:t>
      </w:r>
      <w:r>
        <w:t>及消防部门、</w:t>
      </w:r>
      <w:r>
        <w:rPr>
          <w:rFonts w:hint="eastAsia"/>
          <w:lang w:eastAsia="zh-CN"/>
        </w:rPr>
        <w:t>区农业农村水利局</w:t>
      </w:r>
      <w:r>
        <w:t>构成。根据现场指挥部对事件的研判，在</w:t>
      </w:r>
      <w:r>
        <w:rPr>
          <w:rFonts w:hint="eastAsia"/>
        </w:rPr>
        <w:t>卸甲峪水库</w:t>
      </w:r>
      <w:r>
        <w:t>停止供水情况下，</w:t>
      </w:r>
      <w:r>
        <w:rPr>
          <w:rFonts w:hint="eastAsia"/>
          <w:lang w:eastAsia="zh-CN"/>
        </w:rPr>
        <w:t>锣鼓塔水厂</w:t>
      </w:r>
      <w:r>
        <w:t>及消防部门、</w:t>
      </w:r>
      <w:r>
        <w:rPr>
          <w:rFonts w:hint="eastAsia"/>
          <w:lang w:eastAsia="zh-CN"/>
        </w:rPr>
        <w:t>区农业农村水利局</w:t>
      </w:r>
      <w:r>
        <w:rPr>
          <w:rFonts w:hint="eastAsia" w:eastAsia="宋体"/>
          <w:lang w:eastAsia="zh-CN"/>
        </w:rPr>
        <w:t>、</w:t>
      </w:r>
      <w:r>
        <w:rPr>
          <w:rFonts w:hint="eastAsia" w:ascii="Times New Roman" w:eastAsia="宋体"/>
          <w:lang w:val="en-US" w:eastAsia="zh-CN"/>
        </w:rPr>
        <w:t>武陵源供水公司</w:t>
      </w:r>
      <w:r>
        <w:t>通过取用备用水源或采用消防车供水等方式，保障人民群众日常生活用水。</w:t>
      </w:r>
    </w:p>
    <w:p w14:paraId="7A4AC155">
      <w:pPr>
        <w:bidi w:val="0"/>
      </w:pPr>
      <w:r>
        <w:t>应急物资保障组主要由</w:t>
      </w:r>
      <w:r>
        <w:rPr>
          <w:rFonts w:hint="eastAsia"/>
          <w:lang w:eastAsia="zh-CN"/>
        </w:rPr>
        <w:t>区城乡建设和交通运输局</w:t>
      </w:r>
      <w:r>
        <w:rPr>
          <w:rFonts w:hint="eastAsia" w:eastAsia="宋体"/>
          <w:lang w:eastAsia="zh-CN"/>
        </w:rPr>
        <w:t>、</w:t>
      </w:r>
      <w:r>
        <w:rPr>
          <w:rFonts w:hint="eastAsia" w:ascii="Times New Roman" w:eastAsia="宋体"/>
          <w:lang w:val="en-US" w:eastAsia="zh-CN"/>
        </w:rPr>
        <w:t>区应急管理局</w:t>
      </w:r>
      <w:r>
        <w:t>负责。</w:t>
      </w:r>
      <w:r>
        <w:rPr>
          <w:rFonts w:hint="eastAsia" w:ascii="Times New Roman" w:eastAsia="宋体"/>
          <w:lang w:val="en-US" w:eastAsia="zh-CN"/>
        </w:rPr>
        <w:t>区应急管理局</w:t>
      </w:r>
      <w:r>
        <w:t>通过现场指挥部对事件处理的要求，将应急物资及时运输至事故地，</w:t>
      </w:r>
      <w:r>
        <w:rPr>
          <w:rFonts w:hint="eastAsia"/>
          <w:lang w:eastAsia="zh-CN"/>
        </w:rPr>
        <w:t>区城乡建设和交通运输局</w:t>
      </w:r>
      <w:r>
        <w:t>负责运输过程中道路畅通。</w:t>
      </w:r>
    </w:p>
    <w:p w14:paraId="5D7F3F39">
      <w:pPr>
        <w:bidi w:val="0"/>
      </w:pPr>
      <w:r>
        <w:t>专家咨询组主要由相关专家组成，现场指挥部根据现场事故情况，咨询相关水利、环保专家，对事件</w:t>
      </w:r>
      <w:r>
        <w:rPr>
          <w:rFonts w:hint="eastAsia"/>
          <w:lang w:eastAsia="zh-CN"/>
        </w:rPr>
        <w:t>进行科学的</w:t>
      </w:r>
      <w:r>
        <w:t>研判。</w:t>
      </w:r>
    </w:p>
    <w:p w14:paraId="751C7525">
      <w:r>
        <w:rPr>
          <w:rFonts w:hint="eastAsia"/>
          <w:lang w:eastAsia="zh-CN"/>
        </w:rPr>
        <w:t>新闻宣传与舆情监测组</w:t>
      </w:r>
      <w:r>
        <w:t>主要由</w:t>
      </w:r>
      <w:r>
        <w:rPr>
          <w:rFonts w:hint="eastAsia"/>
        </w:rPr>
        <w:t>区委宣传部</w:t>
      </w:r>
      <w:r>
        <w:t>及</w:t>
      </w:r>
      <w:r>
        <w:rPr>
          <w:rFonts w:hint="eastAsia"/>
          <w:lang w:val="en-US" w:eastAsia="zh-CN"/>
        </w:rPr>
        <w:t>区融媒体中心</w:t>
      </w:r>
      <w:r>
        <w:t>负责，</w:t>
      </w:r>
      <w:r>
        <w:rPr>
          <w:rFonts w:hint="eastAsia"/>
        </w:rPr>
        <w:t>区委宣传部组织引导媒体在突发环境</w:t>
      </w:r>
      <w:r>
        <w:rPr>
          <w:rFonts w:hint="eastAsia"/>
          <w:lang w:eastAsia="zh-CN"/>
        </w:rPr>
        <w:t>事件</w:t>
      </w:r>
      <w:r>
        <w:rPr>
          <w:rFonts w:hint="eastAsia"/>
        </w:rPr>
        <w:t>下的信息发布、通报公开等工作</w:t>
      </w:r>
      <w:r>
        <w:t>；</w:t>
      </w:r>
      <w:r>
        <w:rPr>
          <w:rFonts w:hint="eastAsia"/>
          <w:lang w:val="en-US" w:eastAsia="zh-CN"/>
        </w:rPr>
        <w:t>区融媒体中心负责</w:t>
      </w:r>
      <w:r>
        <w:t>保障现场通讯正常及新闻发布相关工作</w:t>
      </w:r>
      <w:r>
        <w:rPr>
          <w:rFonts w:hint="eastAsia"/>
          <w:lang w:val="en-US" w:eastAsia="zh-CN"/>
        </w:rPr>
        <w:t>。</w:t>
      </w:r>
    </w:p>
    <w:p w14:paraId="7F5903D1">
      <w:pPr>
        <w:bidi w:val="0"/>
      </w:pPr>
    </w:p>
    <w:p w14:paraId="18456E41">
      <w:pPr>
        <w:bidi w:val="0"/>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5DB040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6976110" cy="5096510"/>
            <wp:effectExtent l="0" t="0" r="0" b="0"/>
            <wp:docPr id="7" name="图片 7" descr="流动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流动源"/>
                    <pic:cNvPicPr>
                      <a:picLocks noChangeAspect="1"/>
                    </pic:cNvPicPr>
                  </pic:nvPicPr>
                  <pic:blipFill>
                    <a:blip r:embed="rId13"/>
                    <a:stretch>
                      <a:fillRect/>
                    </a:stretch>
                  </pic:blipFill>
                  <pic:spPr>
                    <a:xfrm>
                      <a:off x="0" y="0"/>
                      <a:ext cx="6976110" cy="5096510"/>
                    </a:xfrm>
                    <a:prstGeom prst="rect">
                      <a:avLst/>
                    </a:prstGeom>
                  </pic:spPr>
                </pic:pic>
              </a:graphicData>
            </a:graphic>
          </wp:inline>
        </w:drawing>
      </w:r>
    </w:p>
    <w:p w14:paraId="674F2E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sz w:val="24"/>
          <w:szCs w:val="24"/>
        </w:rPr>
      </w:pPr>
      <w:bookmarkStart w:id="147" w:name="_Toc7676_WPSOffice_Level2"/>
      <w:bookmarkStart w:id="148" w:name="_Toc29861_WPSOffice_Level2"/>
      <w:bookmarkStart w:id="149" w:name="_Toc519176887"/>
      <w:bookmarkStart w:id="150" w:name="_Toc522803227"/>
      <w:bookmarkStart w:id="151" w:name="_Toc11165_WPSOffice_Level2"/>
      <w:bookmarkStart w:id="152" w:name="_Toc30184_WPSOffice_Level2"/>
      <w:r>
        <w:rPr>
          <w:rFonts w:ascii="Times New Roman" w:hAnsi="Times New Roman" w:eastAsia="宋体"/>
          <w:sz w:val="24"/>
          <w:szCs w:val="24"/>
        </w:rPr>
        <w:t>图3</w:t>
      </w:r>
      <w:r>
        <w:rPr>
          <w:rFonts w:hint="eastAsia" w:ascii="Times New Roman" w:hAnsi="Times New Roman" w:eastAsia="宋体"/>
          <w:sz w:val="24"/>
          <w:szCs w:val="24"/>
          <w:lang w:val="en-US" w:eastAsia="zh-CN"/>
        </w:rPr>
        <w:t>.5-2</w:t>
      </w:r>
      <w:r>
        <w:rPr>
          <w:rFonts w:ascii="Times New Roman" w:hAnsi="Times New Roman" w:eastAsia="宋体"/>
          <w:sz w:val="24"/>
          <w:szCs w:val="24"/>
        </w:rPr>
        <w:t>突发流动源污染事故现场处置方</w:t>
      </w:r>
      <w:bookmarkEnd w:id="147"/>
      <w:r>
        <w:rPr>
          <w:rFonts w:ascii="Times New Roman" w:hAnsi="Times New Roman" w:eastAsia="宋体"/>
          <w:sz w:val="24"/>
          <w:szCs w:val="24"/>
        </w:rPr>
        <w:t>案</w:t>
      </w:r>
      <w:bookmarkEnd w:id="148"/>
      <w:bookmarkEnd w:id="149"/>
      <w:bookmarkEnd w:id="150"/>
      <w:bookmarkEnd w:id="151"/>
      <w:bookmarkEnd w:id="152"/>
    </w:p>
    <w:p w14:paraId="39EC2A34">
      <w:pPr>
        <w:bidi w:val="0"/>
        <w:sectPr>
          <w:footerReference r:id="rId7" w:type="default"/>
          <w:pgSz w:w="16838" w:h="11906" w:orient="landscape"/>
          <w:pgMar w:top="1531" w:right="1134" w:bottom="1531" w:left="1361"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54CE59CF">
      <w:pPr>
        <w:keepNext/>
        <w:keepLines/>
        <w:widowControl w:val="0"/>
        <w:bidi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3.5.2.3</w:t>
      </w:r>
      <w:r>
        <w:rPr>
          <w:rFonts w:hint="eastAsia" w:ascii="Times New Roman" w:hAnsi="Times New Roman" w:eastAsia="宋体" w:cs="Times New Roman"/>
          <w:b/>
          <w:bCs/>
          <w:kern w:val="2"/>
          <w:sz w:val="28"/>
          <w:szCs w:val="28"/>
          <w:lang w:val="en-US" w:eastAsia="zh-CN" w:bidi="ar-SA"/>
        </w:rPr>
        <w:t xml:space="preserve"> </w:t>
      </w:r>
      <w:r>
        <w:rPr>
          <w:rFonts w:ascii="Times New Roman" w:hAnsi="Times New Roman" w:eastAsia="宋体" w:cs="Times New Roman"/>
          <w:b/>
          <w:bCs/>
          <w:kern w:val="2"/>
          <w:sz w:val="28"/>
          <w:szCs w:val="28"/>
          <w:lang w:val="en-US" w:eastAsia="zh-CN" w:bidi="ar-SA"/>
        </w:rPr>
        <w:t>突发非点源污染事故</w:t>
      </w:r>
    </w:p>
    <w:p w14:paraId="7377C19F">
      <w:pPr>
        <w:bidi w:val="0"/>
      </w:pPr>
      <w:bookmarkStart w:id="153" w:name="_Toc513533946"/>
      <w:r>
        <w:rPr>
          <w:rFonts w:hint="default"/>
          <w:lang w:val="en-US" w:eastAsia="zh-CN"/>
        </w:rPr>
        <w:t>根据现场调查，</w:t>
      </w:r>
      <w:r>
        <w:rPr>
          <w:rFonts w:hint="eastAsia" w:ascii="Times New Roman" w:eastAsia="宋体"/>
          <w:lang w:val="en-US" w:eastAsia="zh-CN"/>
        </w:rPr>
        <w:t>卸甲</w:t>
      </w:r>
      <w:r>
        <w:rPr>
          <w:rFonts w:hint="default"/>
          <w:lang w:val="en-US" w:eastAsia="zh-CN"/>
        </w:rPr>
        <w:t>峪水库保护区内无常住居民、无农业面源污染、无规模化畜禽养殖场，因此</w:t>
      </w:r>
      <w:r>
        <w:rPr>
          <w:rFonts w:hint="eastAsia" w:ascii="Times New Roman" w:eastAsia="宋体"/>
          <w:lang w:val="en-US" w:eastAsia="zh-CN"/>
        </w:rPr>
        <w:t>卸甲</w:t>
      </w:r>
      <w:r>
        <w:rPr>
          <w:rFonts w:hint="default"/>
          <w:lang w:val="en-US" w:eastAsia="zh-CN"/>
        </w:rPr>
        <w:t>峪水库汇水范围内不存在非点源污染。</w:t>
      </w:r>
      <w:bookmarkEnd w:id="153"/>
    </w:p>
    <w:p w14:paraId="13527008">
      <w:pPr>
        <w:keepNext/>
        <w:keepLines/>
        <w:widowControl w:val="0"/>
        <w:bidi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3.5.2.4</w:t>
      </w:r>
      <w:r>
        <w:rPr>
          <w:rFonts w:hint="eastAsia" w:ascii="Times New Roman" w:hAnsi="Times New Roman" w:eastAsia="宋体" w:cs="Times New Roman"/>
          <w:b/>
          <w:bCs/>
          <w:kern w:val="2"/>
          <w:sz w:val="28"/>
          <w:szCs w:val="28"/>
          <w:lang w:val="en-US" w:eastAsia="zh-CN" w:bidi="ar-SA"/>
        </w:rPr>
        <w:t xml:space="preserve"> </w:t>
      </w:r>
      <w:r>
        <w:rPr>
          <w:rFonts w:ascii="Times New Roman" w:hAnsi="Times New Roman" w:eastAsia="宋体" w:cs="Times New Roman"/>
          <w:b/>
          <w:bCs/>
          <w:kern w:val="2"/>
          <w:sz w:val="28"/>
          <w:szCs w:val="28"/>
          <w:lang w:val="en-US" w:eastAsia="zh-CN" w:bidi="ar-SA"/>
        </w:rPr>
        <w:t>突发水华灾害事故</w:t>
      </w:r>
      <w:r>
        <w:rPr>
          <w:rFonts w:hint="eastAsia" w:ascii="Times New Roman" w:hAnsi="Times New Roman" w:eastAsia="宋体" w:cs="Times New Roman"/>
          <w:b/>
          <w:bCs/>
          <w:kern w:val="2"/>
          <w:sz w:val="28"/>
          <w:szCs w:val="28"/>
          <w:lang w:val="en-US" w:eastAsia="zh-CN" w:bidi="ar-SA"/>
        </w:rPr>
        <w:t>情景模拟</w:t>
      </w:r>
    </w:p>
    <w:p w14:paraId="609DA2FC">
      <w:pPr>
        <w:rPr>
          <w:rFonts w:hint="default" w:ascii="Times New Roman" w:hAnsi="Times New Roman" w:cs="Times New Roman"/>
        </w:rPr>
      </w:pPr>
      <w:r>
        <w:rPr>
          <w:rFonts w:hint="default" w:ascii="Times New Roman" w:hAnsi="Times New Roman" w:cs="Times New Roman"/>
        </w:rPr>
        <w:t>富营养化是一种氮、磷等植物营养物质含量过多所引起的水质污染现象。水体出现富营养化现象时，由于浮游生物大量繁殖，往往使水体呈现蓝色、红色、棕色、乳白色等，这些藻类有恶臭、有毒，鱼不能食用。藻类遮蔽阳光，使水底生植物因光合作用受到阻碍而死去，腐败后放出氮、磷等植物的营养物质，再供藻类利用。这样年深月久，造成恶性循环，藻类大量繁殖，水质恶化而有腥臭，水中缺氧，造成鱼类窒息死亡。若</w:t>
      </w:r>
      <w:r>
        <w:rPr>
          <w:rFonts w:hint="eastAsia" w:cs="Times New Roman"/>
          <w:lang w:eastAsia="zh-CN"/>
        </w:rPr>
        <w:t>水华暴发</w:t>
      </w:r>
      <w:r>
        <w:rPr>
          <w:rFonts w:hint="default" w:ascii="Times New Roman" w:hAnsi="Times New Roman" w:cs="Times New Roman"/>
        </w:rPr>
        <w:t>处理不当或不及时，则会造成水体污染，影响</w:t>
      </w:r>
      <w:r>
        <w:rPr>
          <w:rFonts w:hint="eastAsia" w:ascii="Times New Roman" w:eastAsia="宋体"/>
          <w:lang w:val="en-US" w:eastAsia="zh-CN"/>
        </w:rPr>
        <w:t>卸甲</w:t>
      </w:r>
      <w:r>
        <w:rPr>
          <w:rFonts w:hint="default"/>
          <w:lang w:eastAsia="zh-CN"/>
        </w:rPr>
        <w:t>峪</w:t>
      </w:r>
      <w:r>
        <w:rPr>
          <w:rFonts w:hint="default" w:ascii="Times New Roman" w:hAnsi="Times New Roman" w:cs="Times New Roman"/>
        </w:rPr>
        <w:t>水库的饮用水取水及供水安全。</w:t>
      </w:r>
    </w:p>
    <w:p w14:paraId="0F395A88">
      <w:pPr>
        <w:bidi w:val="0"/>
      </w:pPr>
      <w:r>
        <w:t>突发水华灾害事故为卸甲峪水库库区水面由于富营养化，造成藻类大面积快速繁殖，导致卸甲峪水库水质变差。</w:t>
      </w:r>
    </w:p>
    <w:p w14:paraId="186B7138">
      <w:pPr>
        <w:bidi w:val="0"/>
      </w:pPr>
      <w:r>
        <w:t>当卸甲峪水库库区突发水华灾害</w:t>
      </w:r>
      <w:r>
        <w:rPr>
          <w:rFonts w:hint="eastAsia" w:ascii="Times New Roman" w:eastAsia="宋体"/>
          <w:lang w:val="en-US" w:eastAsia="zh-CN"/>
        </w:rPr>
        <w:t>时</w:t>
      </w:r>
      <w:r>
        <w:t>，</w:t>
      </w:r>
      <w:r>
        <w:rPr>
          <w:rFonts w:hint="eastAsia"/>
          <w:lang w:eastAsia="zh-CN"/>
        </w:rPr>
        <w:t>锣鼓塔水厂</w:t>
      </w:r>
      <w:r>
        <w:t>或武陵源区供水公司应及时上报给</w:t>
      </w:r>
      <w:r>
        <w:rPr>
          <w:rFonts w:hint="eastAsia" w:eastAsia="宋体"/>
          <w:lang w:eastAsia="zh-CN"/>
        </w:rPr>
        <w:t>区应急管理局</w:t>
      </w:r>
      <w:r>
        <w:t>，</w:t>
      </w:r>
      <w:r>
        <w:rPr>
          <w:rFonts w:hint="eastAsia" w:eastAsia="宋体"/>
          <w:lang w:eastAsia="zh-CN"/>
        </w:rPr>
        <w:t>区应急管理局</w:t>
      </w:r>
      <w:r>
        <w:t>接报后对上报信息进行核实及研判，如对饮用水源造成影响，立即上报应急指挥部，启动应急预案。</w:t>
      </w:r>
    </w:p>
    <w:p w14:paraId="65EE8A19">
      <w:pPr>
        <w:bidi w:val="0"/>
      </w:pPr>
      <w:r>
        <w:t>应急指挥部总指挥在接到预警后，立即组成现场指挥部，召集水库管理所、</w:t>
      </w:r>
      <w:r>
        <w:rPr>
          <w:rFonts w:hint="eastAsia"/>
          <w:lang w:eastAsia="zh-CN"/>
        </w:rPr>
        <w:t>锣鼓塔水厂</w:t>
      </w:r>
      <w:r>
        <w:t>、</w:t>
      </w:r>
      <w:r>
        <w:rPr>
          <w:rFonts w:hint="eastAsia"/>
          <w:lang w:val="en-US" w:eastAsia="zh-CN"/>
        </w:rPr>
        <w:t>区农业农村</w:t>
      </w:r>
      <w:r>
        <w:t>水利局、</w:t>
      </w:r>
      <w:r>
        <w:rPr>
          <w:rFonts w:hint="eastAsia"/>
          <w:lang w:eastAsia="zh-CN"/>
        </w:rPr>
        <w:t>市生态环境局武陵源分局</w:t>
      </w:r>
      <w:r>
        <w:t>、</w:t>
      </w:r>
      <w:r>
        <w:rPr>
          <w:rFonts w:hint="eastAsia"/>
          <w:lang w:eastAsia="zh-CN"/>
        </w:rPr>
        <w:t>市交警直属二大队</w:t>
      </w:r>
      <w:r>
        <w:t>、</w:t>
      </w:r>
      <w:r>
        <w:rPr>
          <w:rFonts w:hint="eastAsia"/>
          <w:lang w:eastAsia="zh-CN"/>
        </w:rPr>
        <w:t>区城乡建设和交通运输局</w:t>
      </w:r>
      <w:r>
        <w:t>、</w:t>
      </w:r>
      <w:r>
        <w:rPr>
          <w:rFonts w:hint="eastAsia" w:eastAsia="宋体"/>
          <w:lang w:eastAsia="zh-CN"/>
        </w:rPr>
        <w:t>区融媒体中心</w:t>
      </w:r>
      <w:r>
        <w:t>组成应急组对事故进行处理。</w:t>
      </w:r>
    </w:p>
    <w:p w14:paraId="111562A4">
      <w:pPr>
        <w:bidi w:val="0"/>
      </w:pPr>
      <w:r>
        <w:t>应急处置组主要由</w:t>
      </w:r>
      <w:r>
        <w:rPr>
          <w:rFonts w:hint="eastAsia"/>
          <w:lang w:val="en-US" w:eastAsia="zh-CN"/>
        </w:rPr>
        <w:t>锣鼓塔水厂</w:t>
      </w:r>
      <w:r>
        <w:t>、</w:t>
      </w:r>
      <w:r>
        <w:rPr>
          <w:rFonts w:hint="eastAsia"/>
          <w:lang w:eastAsia="zh-CN"/>
        </w:rPr>
        <w:t>区农业农村水利局</w:t>
      </w:r>
      <w:r>
        <w:t>负责。</w:t>
      </w:r>
    </w:p>
    <w:p w14:paraId="1BBBF56B">
      <w:pPr>
        <w:bidi w:val="0"/>
      </w:pPr>
      <w:r>
        <w:rPr>
          <w:rFonts w:hint="eastAsia"/>
          <w:lang w:eastAsia="zh-CN"/>
        </w:rPr>
        <w:t>锣鼓塔水厂</w:t>
      </w:r>
      <w:r>
        <w:t>立即采取深度处理</w:t>
      </w:r>
      <w:r>
        <w:rPr>
          <w:rFonts w:hint="eastAsia" w:eastAsia="宋体"/>
          <w:lang w:eastAsia="zh-CN"/>
        </w:rPr>
        <w:t>，</w:t>
      </w:r>
      <w:r>
        <w:t>协同</w:t>
      </w:r>
      <w:r>
        <w:rPr>
          <w:rFonts w:hint="eastAsia"/>
          <w:lang w:eastAsia="zh-CN"/>
        </w:rPr>
        <w:t>区农业农村水利局</w:t>
      </w:r>
      <w:r>
        <w:t>采取藻类打捞、物理遮光、围栏堵截等方式，减少和控制藻类生长和扩散。</w:t>
      </w:r>
    </w:p>
    <w:p w14:paraId="1CA802C0">
      <w:pPr>
        <w:bidi w:val="0"/>
      </w:pPr>
      <w:r>
        <w:t>应急监测组主要由</w:t>
      </w:r>
      <w:r>
        <w:rPr>
          <w:rFonts w:hint="eastAsia"/>
          <w:lang w:eastAsia="zh-CN"/>
        </w:rPr>
        <w:t>市生态环境局武陵源分局</w:t>
      </w:r>
      <w:r>
        <w:rPr>
          <w:rFonts w:hint="eastAsia" w:eastAsia="宋体"/>
          <w:lang w:eastAsia="zh-CN"/>
        </w:rPr>
        <w:t>、</w:t>
      </w:r>
      <w:r>
        <w:rPr>
          <w:rFonts w:hint="eastAsia"/>
          <w:lang w:val="en-US" w:eastAsia="zh-CN"/>
        </w:rPr>
        <w:t>区卫生健康局</w:t>
      </w:r>
      <w:r>
        <w:t>及</w:t>
      </w:r>
      <w:r>
        <w:rPr>
          <w:rFonts w:hint="eastAsia"/>
          <w:lang w:eastAsia="zh-CN"/>
        </w:rPr>
        <w:t>区农业农村水利局</w:t>
      </w:r>
      <w:r>
        <w:rPr>
          <w:rFonts w:hint="eastAsia" w:ascii="Times New Roman" w:eastAsia="宋体"/>
          <w:lang w:val="en-US" w:eastAsia="zh-CN"/>
        </w:rPr>
        <w:t>负责</w:t>
      </w:r>
      <w:r>
        <w:t>。</w:t>
      </w:r>
    </w:p>
    <w:p w14:paraId="2680C6F6">
      <w:pPr>
        <w:bidi w:val="0"/>
      </w:pPr>
      <w:r>
        <w:rPr>
          <w:rFonts w:hint="eastAsia"/>
          <w:lang w:eastAsia="zh-CN"/>
        </w:rPr>
        <w:t>市生态环境局武陵源分局</w:t>
      </w:r>
      <w:r>
        <w:t>根据水华位置、藻类面积大小，在卸甲峪水库支流及取水口分别设置断面进行初步监测，监测因子主要为氨氮、总磷等，并将监测结果及时上报给现场指挥部，为现场指挥部及水厂应对决策提供依据；</w:t>
      </w:r>
    </w:p>
    <w:p w14:paraId="6A62FCF1">
      <w:pPr>
        <w:bidi w:val="0"/>
        <w:rPr>
          <w:rFonts w:hint="eastAsia" w:eastAsia="宋体"/>
          <w:lang w:eastAsia="zh-CN"/>
        </w:rPr>
      </w:pPr>
      <w:r>
        <w:rPr>
          <w:rFonts w:hint="eastAsia"/>
          <w:lang w:eastAsia="zh-CN"/>
        </w:rPr>
        <w:t>区农业农村水利局</w:t>
      </w:r>
      <w:r>
        <w:t>负责卸甲峪水库水文情况的监测</w:t>
      </w:r>
      <w:r>
        <w:rPr>
          <w:rFonts w:hint="eastAsia" w:eastAsia="宋体"/>
          <w:lang w:eastAsia="zh-CN"/>
        </w:rPr>
        <w:t>，</w:t>
      </w:r>
      <w:r>
        <w:rPr>
          <w:rFonts w:hint="eastAsia"/>
          <w:lang w:eastAsia="zh-CN"/>
        </w:rPr>
        <w:t>区卫生健康局</w:t>
      </w:r>
      <w:r>
        <w:t>负责水厂出水水质的监测</w:t>
      </w:r>
      <w:r>
        <w:rPr>
          <w:rFonts w:hint="eastAsia" w:eastAsia="宋体"/>
          <w:lang w:eastAsia="zh-CN"/>
        </w:rPr>
        <w:t>；</w:t>
      </w:r>
    </w:p>
    <w:p w14:paraId="1AD3D71B">
      <w:pPr>
        <w:bidi w:val="0"/>
        <w:rPr>
          <w:rFonts w:hint="eastAsia" w:eastAsia="宋体"/>
          <w:lang w:eastAsia="zh-CN"/>
        </w:rPr>
      </w:pPr>
      <w:r>
        <w:rPr>
          <w:rFonts w:hint="eastAsia" w:ascii="Times New Roman" w:eastAsia="宋体"/>
          <w:lang w:val="en-US" w:eastAsia="zh-CN"/>
        </w:rPr>
        <w:t>气象部门</w:t>
      </w:r>
      <w:r>
        <w:t>负责资源卫星的分析和气象要素的监测</w:t>
      </w:r>
      <w:r>
        <w:rPr>
          <w:rFonts w:hint="eastAsia" w:eastAsia="宋体"/>
          <w:lang w:eastAsia="zh-CN"/>
        </w:rPr>
        <w:t>；</w:t>
      </w:r>
    </w:p>
    <w:p w14:paraId="2CE4B8C8">
      <w:pPr>
        <w:bidi w:val="0"/>
      </w:pPr>
      <w:r>
        <w:t>应急供水保障组主要由</w:t>
      </w:r>
      <w:r>
        <w:rPr>
          <w:rFonts w:hint="eastAsia"/>
          <w:lang w:eastAsia="zh-CN"/>
        </w:rPr>
        <w:t>区农业农村水利局</w:t>
      </w:r>
      <w:r>
        <w:rPr>
          <w:rFonts w:hint="eastAsia" w:ascii="Times New Roman" w:eastAsia="宋体"/>
          <w:lang w:val="en-US" w:eastAsia="zh-CN"/>
        </w:rPr>
        <w:t>、</w:t>
      </w:r>
      <w:r>
        <w:t>武陵源区供水公司及消防部门构成，根据现场指挥部对事件的研判，在</w:t>
      </w:r>
      <w:r>
        <w:rPr>
          <w:rFonts w:hint="eastAsia"/>
          <w:lang w:eastAsia="zh-CN"/>
        </w:rPr>
        <w:t>锣鼓塔水厂</w:t>
      </w:r>
      <w:r>
        <w:t>停止供水情况下，通过取用</w:t>
      </w:r>
      <w:r>
        <w:rPr>
          <w:rFonts w:hint="eastAsia" w:ascii="Times New Roman" w:eastAsia="宋体"/>
          <w:lang w:val="en-US" w:eastAsia="zh-CN"/>
        </w:rPr>
        <w:t>磨子峪</w:t>
      </w:r>
      <w:r>
        <w:t>水库水源或采用消防车供水等方式，保障人民群众日常生活用水。</w:t>
      </w:r>
    </w:p>
    <w:p w14:paraId="6B9843FE">
      <w:pPr>
        <w:bidi w:val="0"/>
      </w:pPr>
      <w:r>
        <w:t>应急物资保障组主要由</w:t>
      </w:r>
      <w:r>
        <w:rPr>
          <w:rFonts w:hint="eastAsia"/>
          <w:lang w:eastAsia="zh-CN"/>
        </w:rPr>
        <w:t>区城乡建设和交通运输局</w:t>
      </w:r>
      <w:r>
        <w:rPr>
          <w:rFonts w:hint="eastAsia" w:eastAsia="宋体"/>
          <w:lang w:eastAsia="zh-CN"/>
        </w:rPr>
        <w:t>、</w:t>
      </w:r>
      <w:r>
        <w:rPr>
          <w:rFonts w:hint="eastAsia" w:ascii="Times New Roman" w:eastAsia="宋体"/>
          <w:lang w:val="en-US" w:eastAsia="zh-CN"/>
        </w:rPr>
        <w:t>区应急管理局</w:t>
      </w:r>
      <w:r>
        <w:t>负责，区</w:t>
      </w:r>
      <w:r>
        <w:rPr>
          <w:rFonts w:hint="eastAsia" w:ascii="Times New Roman" w:eastAsia="宋体"/>
          <w:lang w:val="en-US" w:eastAsia="zh-CN"/>
        </w:rPr>
        <w:t>应急管理</w:t>
      </w:r>
      <w:r>
        <w:t>局通过现场指挥部对事件处理的要求，将应急物资及时运输至事故地，</w:t>
      </w:r>
      <w:r>
        <w:rPr>
          <w:rFonts w:hint="eastAsia"/>
          <w:lang w:eastAsia="zh-CN"/>
        </w:rPr>
        <w:t>区城乡建设和交通运输局</w:t>
      </w:r>
      <w:r>
        <w:t>负责运输过程中道路畅通。</w:t>
      </w:r>
    </w:p>
    <w:p w14:paraId="797B2F66">
      <w:pPr>
        <w:bidi w:val="0"/>
      </w:pPr>
      <w:r>
        <w:t>专家咨询组主要由相关专家组成，现场指挥部根据现场事故情况，咨询相关水利、环保专家，对事件进行科学</w:t>
      </w:r>
      <w:r>
        <w:rPr>
          <w:rFonts w:hint="eastAsia" w:eastAsia="宋体"/>
          <w:lang w:eastAsia="zh-CN"/>
        </w:rPr>
        <w:t>的</w:t>
      </w:r>
      <w:r>
        <w:t>研判。</w:t>
      </w:r>
    </w:p>
    <w:p w14:paraId="555E4BE9">
      <w:bookmarkStart w:id="154" w:name="_Toc514158771"/>
      <w:bookmarkStart w:id="155" w:name="_Toc513533949"/>
      <w:bookmarkStart w:id="156" w:name="_Toc514144436"/>
      <w:r>
        <w:rPr>
          <w:rFonts w:hint="eastAsia"/>
          <w:lang w:eastAsia="zh-CN"/>
        </w:rPr>
        <w:t>新闻宣传与舆情监测组</w:t>
      </w:r>
      <w:r>
        <w:t>主要由</w:t>
      </w:r>
      <w:r>
        <w:rPr>
          <w:rFonts w:hint="eastAsia"/>
        </w:rPr>
        <w:t>区委宣传部</w:t>
      </w:r>
      <w:r>
        <w:t>及</w:t>
      </w:r>
      <w:r>
        <w:rPr>
          <w:rFonts w:hint="eastAsia"/>
          <w:lang w:val="en-US" w:eastAsia="zh-CN"/>
        </w:rPr>
        <w:t>区融媒体中心</w:t>
      </w:r>
      <w:r>
        <w:t>负责，</w:t>
      </w:r>
      <w:r>
        <w:rPr>
          <w:rFonts w:hint="eastAsia"/>
        </w:rPr>
        <w:t>区委宣传部组织引导媒体在突发环境</w:t>
      </w:r>
      <w:r>
        <w:rPr>
          <w:rFonts w:hint="eastAsia"/>
          <w:lang w:eastAsia="zh-CN"/>
        </w:rPr>
        <w:t>事件</w:t>
      </w:r>
      <w:r>
        <w:rPr>
          <w:rFonts w:hint="eastAsia"/>
        </w:rPr>
        <w:t>下的信息发布、通报公开等工作</w:t>
      </w:r>
      <w:r>
        <w:t>；</w:t>
      </w:r>
      <w:r>
        <w:rPr>
          <w:rFonts w:hint="eastAsia"/>
          <w:lang w:val="en-US" w:eastAsia="zh-CN"/>
        </w:rPr>
        <w:t>区融媒体中心负责</w:t>
      </w:r>
      <w:r>
        <w:t>保障现场通讯正常及新闻发布相关工作</w:t>
      </w:r>
      <w:r>
        <w:rPr>
          <w:rFonts w:hint="eastAsia"/>
          <w:lang w:val="en-US" w:eastAsia="zh-CN"/>
        </w:rPr>
        <w:t>。</w:t>
      </w:r>
    </w:p>
    <w:p w14:paraId="1A438F07">
      <w:pPr>
        <w:bidi w:val="0"/>
        <w:sectPr>
          <w:pgSz w:w="11906" w:h="16838"/>
          <w:pgMar w:top="1134" w:right="1531" w:bottom="1361"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DA8370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7459345" cy="5021580"/>
            <wp:effectExtent l="0" t="0" r="0" b="0"/>
            <wp:docPr id="16" name="图片 16" descr="水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水华"/>
                    <pic:cNvPicPr>
                      <a:picLocks noChangeAspect="1"/>
                    </pic:cNvPicPr>
                  </pic:nvPicPr>
                  <pic:blipFill>
                    <a:blip r:embed="rId14"/>
                    <a:stretch>
                      <a:fillRect/>
                    </a:stretch>
                  </pic:blipFill>
                  <pic:spPr>
                    <a:xfrm>
                      <a:off x="0" y="0"/>
                      <a:ext cx="7459345" cy="5021580"/>
                    </a:xfrm>
                    <a:prstGeom prst="rect">
                      <a:avLst/>
                    </a:prstGeom>
                  </pic:spPr>
                </pic:pic>
              </a:graphicData>
            </a:graphic>
          </wp:inline>
        </w:drawing>
      </w:r>
    </w:p>
    <w:p w14:paraId="5E9D1EF0">
      <w:pPr>
        <w:bidi w:val="0"/>
        <w:jc w:val="center"/>
      </w:pPr>
      <w:bookmarkStart w:id="157" w:name="_Toc522803230"/>
      <w:bookmarkStart w:id="158" w:name="_Toc519176891"/>
      <w:r>
        <w:rPr>
          <w:rFonts w:ascii="Times New Roman" w:hAnsi="Times New Roman" w:eastAsia="宋体"/>
          <w:sz w:val="24"/>
          <w:szCs w:val="24"/>
        </w:rPr>
        <w:t>图3</w:t>
      </w:r>
      <w:r>
        <w:rPr>
          <w:rFonts w:hint="eastAsia" w:ascii="Times New Roman" w:hAnsi="Times New Roman" w:eastAsia="宋体"/>
          <w:sz w:val="24"/>
          <w:szCs w:val="24"/>
          <w:lang w:val="en-US" w:eastAsia="zh-CN"/>
        </w:rPr>
        <w:t>.5-3</w:t>
      </w:r>
      <w:r>
        <w:rPr>
          <w:rFonts w:ascii="Times New Roman" w:hAnsi="Times New Roman" w:eastAsia="宋体"/>
          <w:sz w:val="24"/>
          <w:szCs w:val="24"/>
        </w:rPr>
        <w:t>突发水华灾害事故现场处置方案</w:t>
      </w:r>
      <w:bookmarkEnd w:id="157"/>
      <w:bookmarkEnd w:id="158"/>
    </w:p>
    <w:bookmarkEnd w:id="154"/>
    <w:bookmarkEnd w:id="155"/>
    <w:bookmarkEnd w:id="156"/>
    <w:p w14:paraId="02A35759">
      <w:pPr>
        <w:bidi w:val="0"/>
        <w:sectPr>
          <w:pgSz w:w="16838" w:h="11906" w:orient="landscape"/>
          <w:pgMar w:top="1531" w:right="1134" w:bottom="1531" w:left="1361" w:header="851" w:footer="992" w:gutter="0"/>
          <w:pgBorders>
            <w:top w:val="none" w:sz="0" w:space="0"/>
            <w:left w:val="none" w:sz="0" w:space="0"/>
            <w:bottom w:val="none" w:sz="0" w:space="0"/>
            <w:right w:val="none" w:sz="0" w:space="0"/>
          </w:pgBorders>
          <w:pgNumType w:fmt="decimal"/>
          <w:cols w:space="720" w:num="1"/>
          <w:docGrid w:type="lines" w:linePitch="384" w:charSpace="0"/>
        </w:sectPr>
      </w:pPr>
    </w:p>
    <w:p w14:paraId="072736C5">
      <w:pPr>
        <w:keepNext/>
        <w:keepLines/>
        <w:widowControl w:val="0"/>
        <w:bidi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3.5.2.5</w:t>
      </w:r>
      <w:r>
        <w:rPr>
          <w:rFonts w:hint="eastAsia" w:ascii="Times New Roman" w:hAnsi="Times New Roman" w:eastAsia="宋体" w:cs="Times New Roman"/>
          <w:b/>
          <w:bCs/>
          <w:kern w:val="2"/>
          <w:sz w:val="28"/>
          <w:szCs w:val="28"/>
          <w:lang w:val="en-US" w:eastAsia="zh-CN" w:bidi="ar-SA"/>
        </w:rPr>
        <w:t xml:space="preserve"> </w:t>
      </w:r>
      <w:r>
        <w:rPr>
          <w:rFonts w:ascii="Times New Roman" w:hAnsi="Times New Roman" w:eastAsia="宋体" w:cs="Times New Roman"/>
          <w:b/>
          <w:bCs/>
          <w:kern w:val="2"/>
          <w:sz w:val="28"/>
          <w:szCs w:val="28"/>
          <w:lang w:val="en-US" w:eastAsia="zh-CN" w:bidi="ar-SA"/>
        </w:rPr>
        <w:t>突发自然灾害事故</w:t>
      </w:r>
      <w:r>
        <w:rPr>
          <w:rFonts w:hint="eastAsia" w:ascii="Times New Roman" w:hAnsi="Times New Roman" w:eastAsia="宋体" w:cs="Times New Roman"/>
          <w:b/>
          <w:bCs/>
          <w:kern w:val="2"/>
          <w:sz w:val="28"/>
          <w:szCs w:val="28"/>
          <w:lang w:val="en-US" w:eastAsia="zh-CN" w:bidi="ar-SA"/>
        </w:rPr>
        <w:t>情景模拟</w:t>
      </w:r>
    </w:p>
    <w:p w14:paraId="5C5D9D9C">
      <w:pPr>
        <w:bidi w:val="0"/>
      </w:pPr>
      <w:r>
        <w:t>突发自然灾害事故包括卸甲峪水库集雨区范围内因暴雨冲刷引发山体泥石流、滑坡、崩塌等地质灾害</w:t>
      </w:r>
      <w:r>
        <w:rPr>
          <w:rFonts w:hint="eastAsia" w:eastAsia="宋体"/>
          <w:lang w:eastAsia="zh-CN"/>
        </w:rPr>
        <w:t>或</w:t>
      </w:r>
      <w:r>
        <w:t>山体突发火灾，消防救援导致卸甲峪水库中悬浮物大量超标的事故。</w:t>
      </w:r>
    </w:p>
    <w:p w14:paraId="3955C4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sz w:val="24"/>
          <w:szCs w:val="24"/>
        </w:rPr>
      </w:pPr>
      <w:bookmarkStart w:id="159" w:name="_Toc514166376"/>
      <w:bookmarkStart w:id="160" w:name="_Toc513533950"/>
      <w:r>
        <w:rPr>
          <w:rFonts w:ascii="Times New Roman" w:hAnsi="Times New Roman" w:eastAsia="宋体"/>
          <w:sz w:val="24"/>
          <w:szCs w:val="24"/>
        </w:rPr>
        <w:t>表3</w:t>
      </w:r>
      <w:r>
        <w:rPr>
          <w:rFonts w:hint="eastAsia" w:ascii="Times New Roman" w:hAnsi="Times New Roman" w:eastAsia="宋体"/>
          <w:sz w:val="24"/>
          <w:szCs w:val="24"/>
          <w:lang w:val="en-US" w:eastAsia="zh-CN"/>
        </w:rPr>
        <w:t>.5-2</w:t>
      </w:r>
      <w:r>
        <w:rPr>
          <w:rFonts w:ascii="Times New Roman" w:hAnsi="Times New Roman" w:eastAsia="宋体"/>
          <w:sz w:val="24"/>
          <w:szCs w:val="24"/>
        </w:rPr>
        <w:t>突发自然灾害事故一览表</w:t>
      </w:r>
      <w:bookmarkEnd w:id="159"/>
      <w:bookmarkEnd w:id="160"/>
    </w:p>
    <w:tbl>
      <w:tblPr>
        <w:tblStyle w:val="18"/>
        <w:tblW w:w="86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266"/>
        <w:gridCol w:w="2835"/>
        <w:gridCol w:w="2079"/>
      </w:tblGrid>
      <w:tr w14:paraId="26048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dxa"/>
            <w:tcBorders>
              <w:tl2br w:val="nil"/>
              <w:tr2bl w:val="nil"/>
            </w:tcBorders>
            <w:noWrap w:val="0"/>
            <w:vAlign w:val="center"/>
          </w:tcPr>
          <w:p w14:paraId="2CC84B6B">
            <w:pPr>
              <w:bidi w:val="0"/>
              <w:spacing w:line="240" w:lineRule="auto"/>
              <w:ind w:left="0" w:leftChars="0" w:firstLine="0" w:firstLineChars="0"/>
              <w:jc w:val="center"/>
              <w:rPr>
                <w:rFonts w:hint="default" w:ascii="宋体" w:hAnsi="宋体" w:eastAsia="宋体" w:cs="宋体"/>
                <w:b/>
                <w:bCs/>
                <w:sz w:val="21"/>
                <w:szCs w:val="21"/>
              </w:rPr>
            </w:pPr>
            <w:r>
              <w:rPr>
                <w:rFonts w:hint="default" w:ascii="宋体" w:hAnsi="宋体" w:eastAsia="宋体" w:cs="宋体"/>
                <w:b/>
                <w:bCs/>
                <w:sz w:val="21"/>
                <w:szCs w:val="21"/>
              </w:rPr>
              <w:t>序号</w:t>
            </w:r>
          </w:p>
        </w:tc>
        <w:tc>
          <w:tcPr>
            <w:tcW w:w="2266" w:type="dxa"/>
            <w:tcBorders>
              <w:tl2br w:val="nil"/>
              <w:tr2bl w:val="nil"/>
            </w:tcBorders>
            <w:noWrap w:val="0"/>
            <w:vAlign w:val="center"/>
          </w:tcPr>
          <w:p w14:paraId="621EB62F">
            <w:pPr>
              <w:bidi w:val="0"/>
              <w:spacing w:line="240" w:lineRule="auto"/>
              <w:ind w:left="0" w:leftChars="0" w:firstLine="0" w:firstLineChars="0"/>
              <w:jc w:val="center"/>
              <w:rPr>
                <w:rFonts w:hint="default" w:ascii="宋体" w:hAnsi="宋体" w:eastAsia="宋体" w:cs="宋体"/>
                <w:b/>
                <w:bCs/>
                <w:sz w:val="21"/>
                <w:szCs w:val="21"/>
              </w:rPr>
            </w:pPr>
            <w:r>
              <w:rPr>
                <w:rFonts w:hint="default" w:ascii="宋体" w:hAnsi="宋体" w:eastAsia="宋体" w:cs="宋体"/>
                <w:b/>
                <w:bCs/>
                <w:sz w:val="21"/>
                <w:szCs w:val="21"/>
              </w:rPr>
              <w:t>事件类型</w:t>
            </w:r>
          </w:p>
        </w:tc>
        <w:tc>
          <w:tcPr>
            <w:tcW w:w="2835" w:type="dxa"/>
            <w:tcBorders>
              <w:tl2br w:val="nil"/>
              <w:tr2bl w:val="nil"/>
            </w:tcBorders>
            <w:noWrap w:val="0"/>
            <w:vAlign w:val="center"/>
          </w:tcPr>
          <w:p w14:paraId="0D78DA9F">
            <w:pPr>
              <w:bidi w:val="0"/>
              <w:spacing w:line="240" w:lineRule="auto"/>
              <w:ind w:left="0" w:leftChars="0" w:firstLine="0" w:firstLineChars="0"/>
              <w:jc w:val="center"/>
              <w:rPr>
                <w:rFonts w:hint="default" w:ascii="宋体" w:hAnsi="宋体" w:eastAsia="宋体" w:cs="宋体"/>
                <w:b/>
                <w:bCs/>
                <w:sz w:val="21"/>
                <w:szCs w:val="21"/>
              </w:rPr>
            </w:pPr>
            <w:r>
              <w:rPr>
                <w:rFonts w:hint="default" w:ascii="宋体" w:hAnsi="宋体" w:eastAsia="宋体" w:cs="宋体"/>
                <w:b/>
                <w:bCs/>
                <w:sz w:val="21"/>
                <w:szCs w:val="21"/>
              </w:rPr>
              <w:t>主要污染物种类</w:t>
            </w:r>
          </w:p>
        </w:tc>
        <w:tc>
          <w:tcPr>
            <w:tcW w:w="2079" w:type="dxa"/>
            <w:tcBorders>
              <w:tl2br w:val="nil"/>
              <w:tr2bl w:val="nil"/>
            </w:tcBorders>
            <w:noWrap w:val="0"/>
            <w:vAlign w:val="center"/>
          </w:tcPr>
          <w:p w14:paraId="6C12CD2B">
            <w:pPr>
              <w:bidi w:val="0"/>
              <w:spacing w:line="240" w:lineRule="auto"/>
              <w:ind w:left="0" w:leftChars="0" w:firstLine="0" w:firstLineChars="0"/>
              <w:jc w:val="center"/>
              <w:rPr>
                <w:rFonts w:hint="default" w:ascii="宋体" w:hAnsi="宋体" w:eastAsia="宋体" w:cs="宋体"/>
                <w:b/>
                <w:bCs/>
                <w:sz w:val="21"/>
                <w:szCs w:val="21"/>
              </w:rPr>
            </w:pPr>
            <w:r>
              <w:rPr>
                <w:rFonts w:hint="default" w:ascii="宋体" w:hAnsi="宋体" w:eastAsia="宋体" w:cs="宋体"/>
                <w:b/>
                <w:bCs/>
                <w:sz w:val="21"/>
                <w:szCs w:val="21"/>
              </w:rPr>
              <w:t>影响程度</w:t>
            </w:r>
          </w:p>
        </w:tc>
      </w:tr>
      <w:tr w14:paraId="381A2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dxa"/>
            <w:tcBorders>
              <w:tl2br w:val="nil"/>
              <w:tr2bl w:val="nil"/>
            </w:tcBorders>
            <w:noWrap w:val="0"/>
            <w:vAlign w:val="center"/>
          </w:tcPr>
          <w:p w14:paraId="1D0C5568">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1</w:t>
            </w:r>
          </w:p>
        </w:tc>
        <w:tc>
          <w:tcPr>
            <w:tcW w:w="2266" w:type="dxa"/>
            <w:tcBorders>
              <w:tl2br w:val="nil"/>
              <w:tr2bl w:val="nil"/>
            </w:tcBorders>
            <w:noWrap w:val="0"/>
            <w:vAlign w:val="center"/>
          </w:tcPr>
          <w:p w14:paraId="78E0F9F0">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山体火灾</w:t>
            </w:r>
          </w:p>
        </w:tc>
        <w:tc>
          <w:tcPr>
            <w:tcW w:w="2835" w:type="dxa"/>
            <w:tcBorders>
              <w:tl2br w:val="nil"/>
              <w:tr2bl w:val="nil"/>
            </w:tcBorders>
            <w:noWrap w:val="0"/>
            <w:vAlign w:val="center"/>
          </w:tcPr>
          <w:p w14:paraId="3587479F">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SS、消防水</w:t>
            </w:r>
          </w:p>
        </w:tc>
        <w:tc>
          <w:tcPr>
            <w:tcW w:w="2079" w:type="dxa"/>
            <w:tcBorders>
              <w:tl2br w:val="nil"/>
              <w:tr2bl w:val="nil"/>
            </w:tcBorders>
            <w:noWrap w:val="0"/>
            <w:vAlign w:val="center"/>
          </w:tcPr>
          <w:p w14:paraId="1FE1A6B2">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较严重</w:t>
            </w:r>
          </w:p>
        </w:tc>
      </w:tr>
      <w:tr w14:paraId="62989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dxa"/>
            <w:tcBorders>
              <w:tl2br w:val="nil"/>
              <w:tr2bl w:val="nil"/>
            </w:tcBorders>
            <w:noWrap w:val="0"/>
            <w:vAlign w:val="center"/>
          </w:tcPr>
          <w:p w14:paraId="1C48CCE1">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2</w:t>
            </w:r>
          </w:p>
        </w:tc>
        <w:tc>
          <w:tcPr>
            <w:tcW w:w="2266" w:type="dxa"/>
            <w:tcBorders>
              <w:tl2br w:val="nil"/>
              <w:tr2bl w:val="nil"/>
            </w:tcBorders>
            <w:noWrap w:val="0"/>
            <w:vAlign w:val="center"/>
          </w:tcPr>
          <w:p w14:paraId="7F832016">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山洪引发地质灾害</w:t>
            </w:r>
          </w:p>
        </w:tc>
        <w:tc>
          <w:tcPr>
            <w:tcW w:w="2835" w:type="dxa"/>
            <w:tcBorders>
              <w:tl2br w:val="nil"/>
              <w:tr2bl w:val="nil"/>
            </w:tcBorders>
            <w:noWrap w:val="0"/>
            <w:vAlign w:val="center"/>
          </w:tcPr>
          <w:p w14:paraId="1C051BDF">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SS</w:t>
            </w:r>
          </w:p>
        </w:tc>
        <w:tc>
          <w:tcPr>
            <w:tcW w:w="2079" w:type="dxa"/>
            <w:tcBorders>
              <w:tl2br w:val="nil"/>
              <w:tr2bl w:val="nil"/>
            </w:tcBorders>
            <w:noWrap w:val="0"/>
            <w:vAlign w:val="center"/>
          </w:tcPr>
          <w:p w14:paraId="6B0BC54D">
            <w:pPr>
              <w:bidi w:val="0"/>
              <w:spacing w:line="240" w:lineRule="auto"/>
              <w:ind w:left="0" w:leftChars="0" w:firstLine="0" w:firstLineChars="0"/>
              <w:jc w:val="center"/>
              <w:rPr>
                <w:rFonts w:hint="default" w:ascii="宋体" w:hAnsi="宋体" w:eastAsia="宋体" w:cs="宋体"/>
                <w:sz w:val="21"/>
                <w:szCs w:val="21"/>
              </w:rPr>
            </w:pPr>
            <w:r>
              <w:rPr>
                <w:rFonts w:hint="default" w:ascii="宋体" w:hAnsi="宋体" w:eastAsia="宋体" w:cs="宋体"/>
                <w:sz w:val="21"/>
                <w:szCs w:val="21"/>
              </w:rPr>
              <w:t>较严重</w:t>
            </w:r>
          </w:p>
        </w:tc>
      </w:tr>
    </w:tbl>
    <w:p w14:paraId="25D6A124">
      <w:pPr>
        <w:bidi w:val="0"/>
      </w:pPr>
      <w:r>
        <w:t>针对卸甲峪水库饮用水源地周边突发自然灾害事故，在</w:t>
      </w:r>
      <w:r>
        <w:rPr>
          <w:rFonts w:hint="eastAsia"/>
          <w:lang w:eastAsia="zh-CN"/>
        </w:rPr>
        <w:t>锣鼓塔水厂</w:t>
      </w:r>
      <w:r>
        <w:t>或消防部门将信息上报应急指挥部后，应急总指挥启动应急预案。</w:t>
      </w:r>
    </w:p>
    <w:p w14:paraId="6A76CB59">
      <w:pPr>
        <w:bidi w:val="0"/>
      </w:pPr>
      <w:r>
        <w:t>应急指挥部总指挥在接到预警后，立即组成现场指挥部，召集消防部门、</w:t>
      </w:r>
      <w:r>
        <w:rPr>
          <w:rFonts w:hint="eastAsia"/>
          <w:lang w:eastAsia="zh-CN"/>
        </w:rPr>
        <w:t>市生态环境局武陵源分局</w:t>
      </w:r>
      <w:r>
        <w:t>、</w:t>
      </w:r>
      <w:r>
        <w:rPr>
          <w:rFonts w:hint="eastAsia"/>
          <w:lang w:eastAsia="zh-CN"/>
        </w:rPr>
        <w:t>区农业农村水利局</w:t>
      </w:r>
      <w:r>
        <w:rPr>
          <w:rFonts w:hint="eastAsia" w:eastAsia="宋体"/>
          <w:lang w:eastAsia="zh-CN"/>
        </w:rPr>
        <w:t>、</w:t>
      </w:r>
      <w:r>
        <w:rPr>
          <w:rFonts w:hint="eastAsia"/>
          <w:lang w:eastAsia="zh-CN"/>
        </w:rPr>
        <w:t>区城乡建设和交通运输局</w:t>
      </w:r>
      <w:r>
        <w:rPr>
          <w:rFonts w:hint="eastAsia" w:eastAsia="宋体"/>
          <w:lang w:eastAsia="zh-CN"/>
        </w:rPr>
        <w:t>、</w:t>
      </w:r>
      <w:r>
        <w:rPr>
          <w:rFonts w:hint="eastAsia"/>
          <w:lang w:eastAsia="zh-CN"/>
        </w:rPr>
        <w:t>市交警直属二大队</w:t>
      </w:r>
      <w:r>
        <w:t>、卫健局、</w:t>
      </w:r>
      <w:r>
        <w:rPr>
          <w:rFonts w:hint="eastAsia" w:eastAsia="宋体"/>
          <w:lang w:eastAsia="zh-CN"/>
        </w:rPr>
        <w:t>气象监测部门</w:t>
      </w:r>
      <w:r>
        <w:t>、通信管理部门、</w:t>
      </w:r>
      <w:r>
        <w:rPr>
          <w:rFonts w:hint="eastAsia"/>
          <w:lang w:eastAsia="zh-CN"/>
        </w:rPr>
        <w:t>锣鼓塔水厂</w:t>
      </w:r>
      <w:r>
        <w:t>组成应急组对事故进行处理。</w:t>
      </w:r>
    </w:p>
    <w:p w14:paraId="0FA74D51">
      <w:pPr>
        <w:bidi w:val="0"/>
      </w:pPr>
      <w:r>
        <w:t>应急处置组主要由消防部门及</w:t>
      </w:r>
      <w:r>
        <w:rPr>
          <w:rFonts w:hint="eastAsia"/>
          <w:lang w:eastAsia="zh-CN"/>
        </w:rPr>
        <w:t>区农业农村水利局</w:t>
      </w:r>
      <w:r>
        <w:t>、</w:t>
      </w:r>
      <w:r>
        <w:rPr>
          <w:rFonts w:hint="eastAsia"/>
          <w:lang w:eastAsia="zh-CN"/>
        </w:rPr>
        <w:t>锣鼓塔水厂</w:t>
      </w:r>
      <w:r>
        <w:t>负责。</w:t>
      </w:r>
    </w:p>
    <w:p w14:paraId="395106DB">
      <w:pPr>
        <w:bidi w:val="0"/>
        <w:rPr>
          <w:rFonts w:hint="eastAsia"/>
          <w:lang w:val="en-US" w:eastAsia="zh-CN"/>
        </w:rPr>
      </w:pPr>
      <w:r>
        <w:rPr>
          <w:rFonts w:hint="eastAsia" w:ascii="Times New Roman" w:eastAsia="宋体"/>
          <w:lang w:val="en-US" w:eastAsia="zh-CN"/>
        </w:rPr>
        <w:t>（1）森林火灾引发的次生环境事件情景模拟</w:t>
      </w:r>
    </w:p>
    <w:p w14:paraId="4A677A3F">
      <w:pPr>
        <w:bidi w:val="0"/>
        <w:rPr>
          <w:rFonts w:hint="default"/>
          <w:lang w:val="en-US" w:eastAsia="zh-CN"/>
        </w:rPr>
      </w:pPr>
      <w:r>
        <w:rPr>
          <w:rFonts w:hint="eastAsia" w:ascii="Times New Roman" w:eastAsia="宋体"/>
          <w:lang w:val="en-US" w:eastAsia="zh-CN"/>
        </w:rPr>
        <w:t>卸甲峪</w:t>
      </w:r>
      <w:r>
        <w:t>水库饮用水源地</w:t>
      </w:r>
      <w:r>
        <w:rPr>
          <w:rFonts w:hint="eastAsia" w:ascii="Times New Roman" w:eastAsia="宋体"/>
          <w:lang w:val="en-US" w:eastAsia="zh-CN"/>
        </w:rPr>
        <w:t>大部分为山林，</w:t>
      </w:r>
      <w:r>
        <w:rPr>
          <w:rFonts w:hint="default"/>
        </w:rPr>
        <w:t>一旦发生森林火灾或山火，造成事故消防废水随地表径流进入库区，极易造成库区水质污染，无法为下游自来水厂进行正常供水。</w:t>
      </w:r>
    </w:p>
    <w:p w14:paraId="33443E24">
      <w:pPr>
        <w:bidi w:val="0"/>
      </w:pPr>
      <w:r>
        <w:t>针对火灾灾害，消防部门在灭火后，</w:t>
      </w:r>
      <w:r>
        <w:rPr>
          <w:rFonts w:hint="eastAsia"/>
          <w:lang w:eastAsia="zh-CN"/>
        </w:rPr>
        <w:t>区农业农村水利局</w:t>
      </w:r>
      <w:r>
        <w:t>应在库区水面及时设置围堰、闸坝拦截等设施，防止消防废水中的污染物的进一步扩散；针对洪水</w:t>
      </w:r>
      <w:r>
        <w:rPr>
          <w:rFonts w:hint="eastAsia" w:eastAsia="宋体"/>
          <w:lang w:eastAsia="zh-CN"/>
        </w:rPr>
        <w:t>引发</w:t>
      </w:r>
      <w:r>
        <w:t>山体地质灾害，</w:t>
      </w:r>
      <w:r>
        <w:rPr>
          <w:rFonts w:hint="eastAsia"/>
          <w:lang w:eastAsia="zh-CN"/>
        </w:rPr>
        <w:t>区农业农村水利局</w:t>
      </w:r>
      <w:r>
        <w:t>应在库区水面及时设置围堰、闸坝拦截等设施，防止悬浮物的进一步扩散，</w:t>
      </w:r>
      <w:r>
        <w:rPr>
          <w:rFonts w:hint="eastAsia"/>
          <w:lang w:eastAsia="zh-CN"/>
        </w:rPr>
        <w:t>锣鼓塔水厂</w:t>
      </w:r>
      <w:r>
        <w:t>采用深度处理技术去除悬浮物。</w:t>
      </w:r>
    </w:p>
    <w:p w14:paraId="1AE32BC9">
      <w:pPr>
        <w:bidi w:val="0"/>
        <w:rPr>
          <w:rFonts w:hint="default"/>
          <w:lang w:val="en-US" w:eastAsia="zh-CN"/>
        </w:rPr>
      </w:pPr>
      <w:r>
        <w:rPr>
          <w:rFonts w:hint="eastAsia" w:ascii="Times New Roman" w:eastAsia="宋体"/>
          <w:lang w:val="en-US" w:eastAsia="zh-CN"/>
        </w:rPr>
        <w:t>（2）暴雨山洪引发的次生环境事件情景模拟</w:t>
      </w:r>
    </w:p>
    <w:p w14:paraId="0D793A24">
      <w:pPr>
        <w:bidi w:val="0"/>
        <w:rPr>
          <w:rFonts w:hint="eastAsia"/>
          <w:lang w:val="en-US" w:eastAsia="zh-CN"/>
        </w:rPr>
      </w:pPr>
      <w:r>
        <w:rPr>
          <w:rFonts w:hint="eastAsia" w:ascii="Times New Roman" w:eastAsia="宋体"/>
          <w:lang w:val="en-US" w:eastAsia="zh-CN"/>
        </w:rPr>
        <w:t>卸甲峪保护区大部分为山林，一</w:t>
      </w:r>
      <w:r>
        <w:rPr>
          <w:rFonts w:hint="default"/>
        </w:rPr>
        <w:t>旦发生</w:t>
      </w:r>
      <w:r>
        <w:rPr>
          <w:rFonts w:hint="default"/>
          <w:lang w:val="en-US" w:eastAsia="zh-CN"/>
        </w:rPr>
        <w:t>山洪引发地质灾害</w:t>
      </w:r>
      <w:r>
        <w:rPr>
          <w:rFonts w:hint="eastAsia" w:ascii="Times New Roman" w:eastAsia="宋体"/>
          <w:lang w:val="en-US" w:eastAsia="zh-CN"/>
        </w:rPr>
        <w:t>，会造成水库水体严重污染。</w:t>
      </w:r>
    </w:p>
    <w:p w14:paraId="5C6658A8">
      <w:pPr>
        <w:bidi w:val="0"/>
      </w:pPr>
      <w:r>
        <w:t>引发的地质灾害造成饮用水源地不能有效取水，</w:t>
      </w:r>
      <w:r>
        <w:rPr>
          <w:rFonts w:hint="eastAsia"/>
          <w:lang w:eastAsia="zh-CN"/>
        </w:rPr>
        <w:t>区农业农村水利局</w:t>
      </w:r>
      <w:r>
        <w:t>联合水厂应立即采取清运、开挖等方式恢复水源，若地质</w:t>
      </w:r>
      <w:r>
        <w:rPr>
          <w:rFonts w:hint="eastAsia" w:eastAsia="宋体"/>
          <w:lang w:eastAsia="zh-CN"/>
        </w:rPr>
        <w:t>灾害</w:t>
      </w:r>
      <w:r>
        <w:t>较大，没有条件进行工程措施，</w:t>
      </w:r>
      <w:r>
        <w:rPr>
          <w:rFonts w:hint="eastAsia"/>
          <w:lang w:eastAsia="zh-CN"/>
        </w:rPr>
        <w:t>区农业农村水利局</w:t>
      </w:r>
      <w:r>
        <w:t>应立即上报人民政府，选择其他备用水源恢复供水。</w:t>
      </w:r>
    </w:p>
    <w:p w14:paraId="440195B1">
      <w:pPr>
        <w:bidi w:val="0"/>
      </w:pPr>
      <w:r>
        <w:t>应急监测组主要由</w:t>
      </w:r>
      <w:r>
        <w:rPr>
          <w:rFonts w:hint="eastAsia"/>
          <w:lang w:eastAsia="zh-CN"/>
        </w:rPr>
        <w:t>市生态环境局武陵源分局</w:t>
      </w:r>
      <w:r>
        <w:t>及</w:t>
      </w:r>
      <w:r>
        <w:rPr>
          <w:rFonts w:hint="eastAsia"/>
          <w:lang w:eastAsia="zh-CN"/>
        </w:rPr>
        <w:t>区农业农村水利局</w:t>
      </w:r>
      <w:r>
        <w:t>、</w:t>
      </w:r>
      <w:r>
        <w:rPr>
          <w:rFonts w:hint="eastAsia" w:eastAsia="宋体"/>
          <w:lang w:eastAsia="zh-CN"/>
        </w:rPr>
        <w:t>气象监测部门</w:t>
      </w:r>
      <w:r>
        <w:t>负责。</w:t>
      </w:r>
    </w:p>
    <w:p w14:paraId="2D2A3B2B">
      <w:pPr>
        <w:bidi w:val="0"/>
      </w:pPr>
      <w:r>
        <w:rPr>
          <w:rFonts w:hint="eastAsia"/>
          <w:lang w:eastAsia="zh-CN"/>
        </w:rPr>
        <w:t>市生态环境局武陵源分局</w:t>
      </w:r>
      <w:r>
        <w:t>根据火灾或地质灾害位置、规模大小、消防废水中污染物种类、悬浮物，在污染团上、下游及取水口分别设置断面进行初步监测，监测因子主要以悬浮物及消防废水中污染物种类，并将监测结果及时上报给现场指挥部，为现场指挥部及水厂应对决策提供依据；</w:t>
      </w:r>
    </w:p>
    <w:p w14:paraId="2BDC3183">
      <w:pPr>
        <w:bidi w:val="0"/>
      </w:pPr>
      <w:r>
        <w:rPr>
          <w:rFonts w:hint="eastAsia"/>
          <w:lang w:eastAsia="zh-CN"/>
        </w:rPr>
        <w:t>区农业农村水利局</w:t>
      </w:r>
      <w:r>
        <w:t>负责卸甲峪水库水文情况的监测；</w:t>
      </w:r>
    </w:p>
    <w:p w14:paraId="5F3BD734">
      <w:pPr>
        <w:bidi w:val="0"/>
      </w:pPr>
      <w:r>
        <w:rPr>
          <w:rFonts w:hint="eastAsia" w:eastAsia="宋体"/>
          <w:lang w:eastAsia="zh-CN"/>
        </w:rPr>
        <w:t>气象监测部门</w:t>
      </w:r>
      <w:r>
        <w:t>负责资源卫星的分析和气象要素的监测；</w:t>
      </w:r>
    </w:p>
    <w:p w14:paraId="07FA2A32">
      <w:pPr>
        <w:bidi w:val="0"/>
      </w:pPr>
      <w:r>
        <w:t>应急供水保障组主要由武陵源区供水公司及消防部门构成，根据现场指挥部对事件的研判，若</w:t>
      </w:r>
      <w:r>
        <w:rPr>
          <w:rFonts w:hint="eastAsia"/>
          <w:lang w:eastAsia="zh-CN"/>
        </w:rPr>
        <w:t>锣鼓塔水厂</w:t>
      </w:r>
      <w:r>
        <w:t>需停止</w:t>
      </w:r>
      <w:r>
        <w:rPr>
          <w:rFonts w:hint="eastAsia"/>
        </w:rPr>
        <w:t>从卸甲峪水库</w:t>
      </w:r>
      <w:r>
        <w:t>取水，</w:t>
      </w:r>
      <w:r>
        <w:rPr>
          <w:rFonts w:hint="eastAsia" w:ascii="Times New Roman" w:eastAsia="宋体"/>
          <w:lang w:val="en-US" w:eastAsia="zh-CN"/>
        </w:rPr>
        <w:t>则</w:t>
      </w:r>
      <w:r>
        <w:t>通过</w:t>
      </w:r>
      <w:r>
        <w:rPr>
          <w:rFonts w:hint="eastAsia" w:ascii="Times New Roman" w:eastAsia="宋体"/>
          <w:lang w:val="en-US" w:eastAsia="zh-CN"/>
        </w:rPr>
        <w:t>磨子</w:t>
      </w:r>
      <w:r>
        <w:rPr>
          <w:rFonts w:hint="eastAsia"/>
        </w:rPr>
        <w:t>峪水库取水、</w:t>
      </w:r>
      <w:r>
        <w:t>索溪水厂供水或采用消防车供水等方式，保障人民群众日常生活用水。</w:t>
      </w:r>
    </w:p>
    <w:p w14:paraId="62DAE3E8">
      <w:pPr>
        <w:bidi w:val="0"/>
      </w:pPr>
      <w:r>
        <w:t>应急物资保障组主要由区</w:t>
      </w:r>
      <w:r>
        <w:rPr>
          <w:rFonts w:hint="eastAsia"/>
        </w:rPr>
        <w:t>应急管理局</w:t>
      </w:r>
      <w:r>
        <w:t>及</w:t>
      </w:r>
      <w:r>
        <w:rPr>
          <w:rFonts w:hint="eastAsia"/>
          <w:lang w:val="en-US" w:eastAsia="zh-CN"/>
        </w:rPr>
        <w:t>区卫生健康局</w:t>
      </w:r>
      <w:r>
        <w:t>负责，区</w:t>
      </w:r>
      <w:r>
        <w:rPr>
          <w:rFonts w:hint="eastAsia"/>
        </w:rPr>
        <w:t>应急管理局</w:t>
      </w:r>
      <w:r>
        <w:t>通过现场指挥部对事件处理的要求，将应急物资及时运输至事故地，</w:t>
      </w:r>
      <w:r>
        <w:rPr>
          <w:rFonts w:hint="eastAsia"/>
          <w:lang w:val="en-US" w:eastAsia="zh-CN"/>
        </w:rPr>
        <w:t>区卫生健康局负责事故人员救治工作</w:t>
      </w:r>
      <w:r>
        <w:t>。</w:t>
      </w:r>
    </w:p>
    <w:p w14:paraId="6D7DB109">
      <w:pPr>
        <w:bidi w:val="0"/>
      </w:pPr>
      <w:r>
        <w:t>专家咨询组主要由相关专家组成，现场指挥部根据现场事故情况，咨询相关水利、环保专家，对事件进行科学</w:t>
      </w:r>
      <w:r>
        <w:rPr>
          <w:rFonts w:hint="eastAsia" w:eastAsia="宋体"/>
          <w:lang w:eastAsia="zh-CN"/>
        </w:rPr>
        <w:t>的</w:t>
      </w:r>
      <w:r>
        <w:t>研判。</w:t>
      </w:r>
    </w:p>
    <w:p w14:paraId="5B0DA672">
      <w:r>
        <w:rPr>
          <w:rFonts w:hint="eastAsia"/>
          <w:lang w:eastAsia="zh-CN"/>
        </w:rPr>
        <w:t>新闻宣传与舆情监测组</w:t>
      </w:r>
      <w:r>
        <w:t>主要由</w:t>
      </w:r>
      <w:r>
        <w:rPr>
          <w:rFonts w:hint="eastAsia"/>
        </w:rPr>
        <w:t>区委宣传部</w:t>
      </w:r>
      <w:r>
        <w:t>及</w:t>
      </w:r>
      <w:r>
        <w:rPr>
          <w:rFonts w:hint="eastAsia"/>
          <w:lang w:val="en-US" w:eastAsia="zh-CN"/>
        </w:rPr>
        <w:t>区融媒体中心</w:t>
      </w:r>
      <w:r>
        <w:t>负责，</w:t>
      </w:r>
      <w:r>
        <w:rPr>
          <w:rFonts w:hint="eastAsia"/>
        </w:rPr>
        <w:t>区委宣传部组织引导媒体在突发环境</w:t>
      </w:r>
      <w:r>
        <w:rPr>
          <w:rFonts w:hint="eastAsia"/>
          <w:lang w:eastAsia="zh-CN"/>
        </w:rPr>
        <w:t>事件</w:t>
      </w:r>
      <w:r>
        <w:rPr>
          <w:rFonts w:hint="eastAsia"/>
        </w:rPr>
        <w:t>下的信息发布、通报公开等工作</w:t>
      </w:r>
      <w:r>
        <w:t>；</w:t>
      </w:r>
      <w:r>
        <w:rPr>
          <w:rFonts w:hint="eastAsia"/>
          <w:lang w:val="en-US" w:eastAsia="zh-CN"/>
        </w:rPr>
        <w:t>区融媒体中心负责</w:t>
      </w:r>
      <w:r>
        <w:t>保障现场通讯正常及新闻发布相关工作</w:t>
      </w:r>
      <w:r>
        <w:rPr>
          <w:rFonts w:hint="eastAsia"/>
          <w:lang w:val="en-US" w:eastAsia="zh-CN"/>
        </w:rPr>
        <w:t>。</w:t>
      </w:r>
    </w:p>
    <w:p w14:paraId="0FC0BA59">
      <w:pPr>
        <w:bidi w:val="0"/>
      </w:pPr>
    </w:p>
    <w:p w14:paraId="19CF2FFC">
      <w:pPr>
        <w:bidi w:val="0"/>
        <w:sectPr>
          <w:pgSz w:w="11906" w:h="16838"/>
          <w:pgMar w:top="1134" w:right="1531" w:bottom="1361"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97CFF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6499860" cy="5102860"/>
            <wp:effectExtent l="0" t="0" r="0" b="0"/>
            <wp:docPr id="8" name="图片 8" descr="自然灾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自然灾害"/>
                    <pic:cNvPicPr>
                      <a:picLocks noChangeAspect="1"/>
                    </pic:cNvPicPr>
                  </pic:nvPicPr>
                  <pic:blipFill>
                    <a:blip r:embed="rId15"/>
                    <a:stretch>
                      <a:fillRect/>
                    </a:stretch>
                  </pic:blipFill>
                  <pic:spPr>
                    <a:xfrm>
                      <a:off x="0" y="0"/>
                      <a:ext cx="6499860" cy="5102860"/>
                    </a:xfrm>
                    <a:prstGeom prst="rect">
                      <a:avLst/>
                    </a:prstGeom>
                  </pic:spPr>
                </pic:pic>
              </a:graphicData>
            </a:graphic>
          </wp:inline>
        </w:drawing>
      </w:r>
    </w:p>
    <w:p w14:paraId="1F7B65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sz w:val="24"/>
          <w:szCs w:val="24"/>
        </w:rPr>
      </w:pPr>
      <w:r>
        <w:rPr>
          <w:rFonts w:ascii="Times New Roman" w:hAnsi="Times New Roman" w:eastAsia="宋体"/>
          <w:sz w:val="24"/>
          <w:szCs w:val="24"/>
        </w:rPr>
        <w:t>图3</w:t>
      </w:r>
      <w:r>
        <w:rPr>
          <w:rFonts w:hint="eastAsia" w:ascii="Times New Roman" w:hAnsi="Times New Roman" w:eastAsia="宋体"/>
          <w:sz w:val="24"/>
          <w:szCs w:val="24"/>
          <w:lang w:val="en-US" w:eastAsia="zh-CN"/>
        </w:rPr>
        <w:t>.5-4</w:t>
      </w:r>
      <w:r>
        <w:rPr>
          <w:rFonts w:ascii="Times New Roman" w:hAnsi="Times New Roman" w:eastAsia="宋体"/>
          <w:sz w:val="24"/>
          <w:szCs w:val="24"/>
        </w:rPr>
        <w:t>突发自然灾害事故现场处置方案</w:t>
      </w:r>
    </w:p>
    <w:p w14:paraId="7E2BACB5">
      <w:pPr>
        <w:bidi w:val="0"/>
        <w:sectPr>
          <w:pgSz w:w="16838" w:h="11906" w:orient="landscape"/>
          <w:pgMar w:top="1531" w:right="1134" w:bottom="1531" w:left="1361" w:header="851" w:footer="992" w:gutter="0"/>
          <w:pgBorders>
            <w:top w:val="none" w:sz="0" w:space="0"/>
            <w:left w:val="none" w:sz="0" w:space="0"/>
            <w:bottom w:val="none" w:sz="0" w:space="0"/>
            <w:right w:val="none" w:sz="0" w:space="0"/>
          </w:pgBorders>
          <w:pgNumType w:fmt="decimal"/>
          <w:cols w:space="720" w:num="1"/>
          <w:docGrid w:type="lines" w:linePitch="384" w:charSpace="0"/>
        </w:sectPr>
      </w:pPr>
    </w:p>
    <w:p w14:paraId="5C3600C4">
      <w:pPr>
        <w:keepNext/>
        <w:keepLines/>
        <w:widowControl w:val="0"/>
        <w:bidi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3.5.2.6</w:t>
      </w:r>
      <w:r>
        <w:rPr>
          <w:rFonts w:hint="eastAsia" w:ascii="Times New Roman" w:hAnsi="Times New Roman" w:eastAsia="宋体" w:cs="Times New Roman"/>
          <w:b/>
          <w:bCs/>
          <w:kern w:val="2"/>
          <w:sz w:val="28"/>
          <w:szCs w:val="28"/>
          <w:lang w:val="en-US" w:eastAsia="zh-CN" w:bidi="ar-SA"/>
        </w:rPr>
        <w:t xml:space="preserve"> </w:t>
      </w:r>
      <w:r>
        <w:rPr>
          <w:rFonts w:ascii="Times New Roman" w:hAnsi="Times New Roman" w:eastAsia="宋体" w:cs="Times New Roman"/>
          <w:b/>
          <w:bCs/>
          <w:kern w:val="2"/>
          <w:sz w:val="28"/>
          <w:szCs w:val="28"/>
          <w:lang w:val="en-US" w:eastAsia="zh-CN" w:bidi="ar-SA"/>
        </w:rPr>
        <w:t>供水安全保障</w:t>
      </w:r>
    </w:p>
    <w:p w14:paraId="208E48CF">
      <w:pPr>
        <w:bidi w:val="0"/>
      </w:pPr>
      <w:r>
        <w:t>向</w:t>
      </w:r>
      <w:r>
        <w:rPr>
          <w:rFonts w:hint="eastAsia"/>
          <w:lang w:eastAsia="zh-CN"/>
        </w:rPr>
        <w:t>锣鼓塔水厂</w:t>
      </w:r>
      <w:r>
        <w:t>通报应急监测信息，并在启动预警时第一时间通知水厂。水厂应根据污染物的种类、浓度、可能影响取水口的时间，及时采取深度处理、低压供水或</w:t>
      </w:r>
      <w:r>
        <w:rPr>
          <w:rFonts w:hint="eastAsia" w:eastAsia="宋体"/>
          <w:lang w:eastAsia="zh-CN"/>
        </w:rPr>
        <w:t>采取</w:t>
      </w:r>
      <w:r>
        <w:t>应急供水车等应急措施保障居民用水，并加强污染物监测，待水质满足取水要求时恢复取水和供水。</w:t>
      </w:r>
    </w:p>
    <w:p w14:paraId="6C26302C">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61" w:name="_Toc4813"/>
      <w:bookmarkStart w:id="162" w:name="_Toc31750"/>
      <w:bookmarkStart w:id="163" w:name="_Toc14814"/>
      <w:bookmarkStart w:id="164" w:name="_Toc7872"/>
      <w:bookmarkStart w:id="165" w:name="_Toc16273"/>
      <w:bookmarkStart w:id="166" w:name="_Toc14306"/>
      <w:bookmarkStart w:id="167" w:name="_Toc17087"/>
      <w:r>
        <w:rPr>
          <w:rFonts w:ascii="Times New Roman" w:hAnsi="Times New Roman" w:eastAsia="宋体" w:cs="Times New Roman"/>
          <w:b/>
          <w:bCs/>
          <w:kern w:val="2"/>
          <w:sz w:val="32"/>
          <w:szCs w:val="32"/>
          <w:lang w:val="en-US" w:eastAsia="zh-CN" w:bidi="ar-SA"/>
        </w:rPr>
        <w:t>3.7</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物资调集及应急设施启用</w:t>
      </w:r>
      <w:bookmarkEnd w:id="161"/>
      <w:bookmarkEnd w:id="162"/>
      <w:bookmarkEnd w:id="163"/>
      <w:bookmarkEnd w:id="164"/>
      <w:bookmarkEnd w:id="165"/>
      <w:bookmarkEnd w:id="166"/>
      <w:bookmarkEnd w:id="167"/>
    </w:p>
    <w:p w14:paraId="02099076">
      <w:pPr>
        <w:bidi w:val="0"/>
      </w:pPr>
      <w:r>
        <w:t>应急物资、装备和设施包括以下内容，具体物资见第一部分内容：</w:t>
      </w:r>
    </w:p>
    <w:p w14:paraId="1C7A28FB">
      <w:pPr>
        <w:bidi w:val="0"/>
      </w:pPr>
      <w:r>
        <w:t>（1）控制和消除污染物的物资、装备和设施，如中和剂、灭火剂、解毒剂、吸收剂等。</w:t>
      </w:r>
    </w:p>
    <w:p w14:paraId="1B41193C">
      <w:pPr>
        <w:bidi w:val="0"/>
      </w:pPr>
      <w:r>
        <w:t>（2）针对水华灾害，消除有毒有害物质产生条件、清除藻类的物资、装备和设施，如充气艇、除藻设施等。</w:t>
      </w:r>
    </w:p>
    <w:p w14:paraId="4F15EC0A">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68" w:name="_Toc23621"/>
      <w:bookmarkStart w:id="169" w:name="_Toc20797"/>
      <w:bookmarkStart w:id="170" w:name="_Toc17438"/>
      <w:bookmarkStart w:id="171" w:name="_Toc14921"/>
      <w:bookmarkStart w:id="172" w:name="_Toc18790"/>
      <w:bookmarkStart w:id="173" w:name="_Toc7770"/>
      <w:bookmarkStart w:id="174" w:name="_Toc17078"/>
      <w:r>
        <w:rPr>
          <w:rFonts w:ascii="Times New Roman" w:hAnsi="Times New Roman" w:eastAsia="宋体" w:cs="Times New Roman"/>
          <w:b/>
          <w:bCs/>
          <w:kern w:val="2"/>
          <w:sz w:val="32"/>
          <w:szCs w:val="32"/>
          <w:lang w:val="en-US" w:eastAsia="zh-CN" w:bidi="ar-SA"/>
        </w:rPr>
        <w:t>3.8</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舆情监测与信息发布</w:t>
      </w:r>
      <w:bookmarkEnd w:id="168"/>
      <w:bookmarkEnd w:id="169"/>
      <w:bookmarkEnd w:id="170"/>
      <w:bookmarkEnd w:id="171"/>
      <w:bookmarkEnd w:id="172"/>
      <w:bookmarkEnd w:id="173"/>
      <w:bookmarkEnd w:id="174"/>
    </w:p>
    <w:p w14:paraId="4657BF11">
      <w:pPr>
        <w:bidi w:val="0"/>
      </w:pPr>
      <w:r>
        <w:t>现场应急指挥部在突发环境事件发生后，应第一时间向社会发布信息，并针对舆情及时发布事件原因、影响区域、已采取的措施及成效、公众应注意的防范措施、热线电话等。</w:t>
      </w:r>
    </w:p>
    <w:p w14:paraId="070BAF7F">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75" w:name="_Toc25452"/>
      <w:bookmarkStart w:id="176" w:name="_Toc7090"/>
      <w:bookmarkStart w:id="177" w:name="_Toc5085"/>
      <w:bookmarkStart w:id="178" w:name="_Toc21037"/>
      <w:bookmarkStart w:id="179" w:name="_Toc14925"/>
      <w:bookmarkStart w:id="180" w:name="_Toc14378"/>
      <w:bookmarkStart w:id="181" w:name="_Toc11043"/>
      <w:r>
        <w:rPr>
          <w:rFonts w:ascii="Times New Roman" w:hAnsi="Times New Roman" w:eastAsia="宋体" w:cs="Times New Roman"/>
          <w:b/>
          <w:bCs/>
          <w:kern w:val="2"/>
          <w:sz w:val="32"/>
          <w:szCs w:val="32"/>
          <w:lang w:val="en-US" w:eastAsia="zh-CN" w:bidi="ar-SA"/>
        </w:rPr>
        <w:t>3.9</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响应终止</w:t>
      </w:r>
      <w:bookmarkEnd w:id="175"/>
      <w:bookmarkEnd w:id="176"/>
      <w:bookmarkEnd w:id="177"/>
      <w:bookmarkEnd w:id="178"/>
      <w:bookmarkEnd w:id="179"/>
      <w:bookmarkEnd w:id="180"/>
      <w:bookmarkEnd w:id="181"/>
    </w:p>
    <w:p w14:paraId="6225F8F4">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3.9.1</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响应终止条件</w:t>
      </w:r>
    </w:p>
    <w:p w14:paraId="37983A6E">
      <w:pPr>
        <w:bidi w:val="0"/>
      </w:pPr>
      <w:r>
        <w:t>符合下列情形之一的，可终止应急响应：</w:t>
      </w:r>
    </w:p>
    <w:p w14:paraId="1E61FC13">
      <w:pPr>
        <w:bidi w:val="0"/>
      </w:pPr>
      <w:r>
        <w:t>①进入水源保护区范围的污染物已成功围堵，且清运至水源保护区外，未向水域扩散时；</w:t>
      </w:r>
    </w:p>
    <w:p w14:paraId="1FC3F2B6">
      <w:pPr>
        <w:bidi w:val="0"/>
      </w:pPr>
      <w:r>
        <w:t>②进入水源保护区水域范围的污染团已成功拦截或导流至水源保护区外，没有向取水口扩散的风险，且水质监测结果稳定达标；</w:t>
      </w:r>
    </w:p>
    <w:p w14:paraId="44EDD855">
      <w:pPr>
        <w:bidi w:val="0"/>
      </w:pPr>
      <w:r>
        <w:t>③水质监测结果尚未稳定达标，但根据应急专家组建议可恢复正常取水时。</w:t>
      </w:r>
    </w:p>
    <w:p w14:paraId="16FBC87D">
      <w:pPr>
        <w:keepNext/>
        <w:keepLines/>
        <w:widowControl w:val="0"/>
        <w:bidi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3.9.2</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响应终止程序</w:t>
      </w:r>
    </w:p>
    <w:p w14:paraId="3F5E2CAF">
      <w:pPr>
        <w:bidi w:val="0"/>
        <w:rPr>
          <w:rFonts w:hint="default" w:eastAsia="宋体"/>
          <w:lang w:val="en-US" w:eastAsia="zh-CN"/>
        </w:rPr>
      </w:pPr>
      <w:bookmarkStart w:id="182" w:name="_Toc26692"/>
      <w:bookmarkStart w:id="183" w:name="_Toc8484"/>
      <w:bookmarkStart w:id="184" w:name="_Toc26055"/>
      <w:bookmarkStart w:id="185" w:name="_Toc16632"/>
      <w:bookmarkStart w:id="186" w:name="_Toc12934"/>
      <w:bookmarkStart w:id="187" w:name="_Toc27674"/>
      <w:r>
        <w:rPr>
          <w:rFonts w:hint="default"/>
        </w:rPr>
        <w:t>（1）现场环境应急救援指挥部确认终止时机，经专家组评估确认后，经现场环境应急救援指挥部批准</w:t>
      </w:r>
      <w:r>
        <w:rPr>
          <w:rFonts w:hint="eastAsia" w:eastAsia="宋体"/>
          <w:lang w:eastAsia="zh-CN"/>
        </w:rPr>
        <w:t>，</w:t>
      </w:r>
      <w:r>
        <w:rPr>
          <w:rFonts w:hint="eastAsia" w:ascii="Times New Roman" w:eastAsia="宋体"/>
          <w:lang w:val="en-US" w:eastAsia="zh-CN"/>
        </w:rPr>
        <w:t>由区委宣传部发布终止信息，主要发送渠道为网络公告，发布对象为武陵源全区。</w:t>
      </w:r>
    </w:p>
    <w:p w14:paraId="71ECF878">
      <w:pPr>
        <w:bidi w:val="0"/>
        <w:rPr>
          <w:rFonts w:hint="default"/>
        </w:rPr>
      </w:pPr>
      <w:r>
        <w:rPr>
          <w:rFonts w:hint="default"/>
        </w:rPr>
        <w:t>（2）现场环境应急救援指挥部向所属各专业应急救援队伍下达应急终止命令。</w:t>
      </w:r>
    </w:p>
    <w:p w14:paraId="15311AA3">
      <w:pPr>
        <w:bidi w:val="0"/>
        <w:rPr>
          <w:rFonts w:hint="default"/>
        </w:rPr>
      </w:pPr>
      <w:r>
        <w:rPr>
          <w:rFonts w:hint="default"/>
        </w:rPr>
        <w:t>（3）应急状态终止后，相关类别环境事件专业应急救援队伍应根据现场环境应急救援指挥部指挥长有关指示和现场实际情况，继续进行环境监测和评价工作，直至其他补救措施无需继续进行为止。</w:t>
      </w:r>
    </w:p>
    <w:p w14:paraId="45A74EB4">
      <w:pPr>
        <w:keepNext/>
        <w:keepLines/>
        <w:widowControl w:val="0"/>
        <w:bidi w:val="0"/>
        <w:spacing w:before="200" w:after="100" w:line="416" w:lineRule="auto"/>
        <w:ind w:firstLine="0" w:firstLineChars="0"/>
        <w:jc w:val="both"/>
        <w:outlineLvl w:val="1"/>
        <w:rPr>
          <w:rFonts w:ascii="Cambria" w:hAnsi="Cambria" w:eastAsia="宋体" w:cs="Times New Roman"/>
          <w:b/>
          <w:bCs/>
          <w:kern w:val="2"/>
          <w:sz w:val="32"/>
          <w:szCs w:val="32"/>
          <w:lang w:val="en-US" w:eastAsia="zh-CN" w:bidi="ar-SA"/>
        </w:rPr>
      </w:pPr>
      <w:bookmarkStart w:id="188" w:name="_Toc30635"/>
      <w:bookmarkStart w:id="189" w:name="_Toc10864"/>
      <w:r>
        <w:rPr>
          <w:rFonts w:hint="eastAsia" w:ascii="Cambria" w:hAnsi="Cambria" w:eastAsia="宋体" w:cs="Times New Roman"/>
          <w:b/>
          <w:bCs/>
          <w:kern w:val="2"/>
          <w:sz w:val="32"/>
          <w:szCs w:val="32"/>
          <w:lang w:val="en-US" w:eastAsia="zh-CN" w:bidi="ar-SA"/>
        </w:rPr>
        <w:t>4</w:t>
      </w:r>
      <w:r>
        <w:rPr>
          <w:rFonts w:ascii="Cambria" w:hAnsi="Cambria" w:eastAsia="宋体" w:cs="Times New Roman"/>
          <w:b/>
          <w:bCs/>
          <w:kern w:val="2"/>
          <w:sz w:val="32"/>
          <w:szCs w:val="32"/>
          <w:lang w:val="en-US" w:eastAsia="zh-CN" w:bidi="ar-SA"/>
        </w:rPr>
        <w:t>、后期工作</w:t>
      </w:r>
      <w:bookmarkEnd w:id="182"/>
      <w:bookmarkEnd w:id="183"/>
      <w:bookmarkEnd w:id="184"/>
      <w:bookmarkEnd w:id="185"/>
      <w:bookmarkEnd w:id="186"/>
      <w:bookmarkEnd w:id="187"/>
      <w:bookmarkEnd w:id="188"/>
      <w:bookmarkEnd w:id="189"/>
    </w:p>
    <w:p w14:paraId="7EA548B1">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90" w:name="_Toc1050"/>
      <w:bookmarkStart w:id="191" w:name="_Toc2593"/>
      <w:bookmarkStart w:id="192" w:name="_Toc1771"/>
      <w:bookmarkStart w:id="193" w:name="_Toc24514"/>
      <w:bookmarkStart w:id="194" w:name="_Toc22426"/>
      <w:bookmarkStart w:id="195" w:name="_Toc26106"/>
      <w:bookmarkStart w:id="196" w:name="_Toc3882"/>
      <w:r>
        <w:rPr>
          <w:rFonts w:ascii="Times New Roman" w:hAnsi="Times New Roman" w:eastAsia="宋体" w:cs="Times New Roman"/>
          <w:b/>
          <w:bCs/>
          <w:kern w:val="2"/>
          <w:sz w:val="32"/>
          <w:szCs w:val="32"/>
          <w:lang w:val="en-US" w:eastAsia="zh-CN" w:bidi="ar-SA"/>
        </w:rPr>
        <w:t>4.1</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后期防控</w:t>
      </w:r>
      <w:bookmarkEnd w:id="190"/>
      <w:bookmarkEnd w:id="191"/>
      <w:bookmarkEnd w:id="192"/>
      <w:bookmarkEnd w:id="193"/>
      <w:bookmarkEnd w:id="194"/>
      <w:bookmarkEnd w:id="195"/>
      <w:bookmarkEnd w:id="196"/>
    </w:p>
    <w:p w14:paraId="2A3EAFF2">
      <w:pPr>
        <w:bidi w:val="0"/>
      </w:pPr>
      <w:r>
        <w:t>（1）武陵源区政府及相关部门组织专业队伍负责实施污染事故事发地的后期现场清理和污染物处理；事故场地及</w:t>
      </w:r>
      <w:r>
        <w:rPr>
          <w:rFonts w:hint="eastAsia" w:eastAsia="宋体"/>
          <w:lang w:eastAsia="zh-CN"/>
        </w:rPr>
        <w:t>蔓延</w:t>
      </w:r>
      <w:r>
        <w:t>区域的污染物清除完成后，对土壤或水生态系统进行修复；部分污染物导流到水源地下游或其他区域，对这些区域的污染物进行清除，防止次生、衍生和耦合事件发生。</w:t>
      </w:r>
    </w:p>
    <w:p w14:paraId="24D24675">
      <w:pPr>
        <w:bidi w:val="0"/>
      </w:pPr>
      <w:r>
        <w:t>（2）应急过程评价。由区环境应急领导小组组织有关专家，会同相关部门组织评估应急过程，总结经验与教训。</w:t>
      </w:r>
    </w:p>
    <w:p w14:paraId="41052744">
      <w:pPr>
        <w:bidi w:val="0"/>
      </w:pPr>
      <w:r>
        <w:t>（3）根据实践经验，有关类别环境事件专业主管部门负责组织对应急预案进行评估，并及时修订环境应急预案。</w:t>
      </w:r>
    </w:p>
    <w:p w14:paraId="3DCD8B80">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197" w:name="_Toc15629"/>
      <w:bookmarkStart w:id="198" w:name="_Toc621"/>
      <w:bookmarkStart w:id="199" w:name="_Toc9876"/>
      <w:bookmarkStart w:id="200" w:name="_Toc13457"/>
      <w:bookmarkStart w:id="201" w:name="_Toc16886"/>
      <w:bookmarkStart w:id="202" w:name="_Toc6934"/>
      <w:bookmarkStart w:id="203" w:name="_Toc24939"/>
      <w:r>
        <w:rPr>
          <w:rFonts w:ascii="Times New Roman" w:hAnsi="Times New Roman" w:eastAsia="宋体" w:cs="Times New Roman"/>
          <w:b/>
          <w:bCs/>
          <w:kern w:val="2"/>
          <w:sz w:val="32"/>
          <w:szCs w:val="32"/>
          <w:lang w:val="en-US" w:eastAsia="zh-CN" w:bidi="ar-SA"/>
        </w:rPr>
        <w:t>4.2</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事件调查</w:t>
      </w:r>
      <w:bookmarkEnd w:id="197"/>
      <w:bookmarkEnd w:id="198"/>
      <w:bookmarkEnd w:id="199"/>
      <w:bookmarkEnd w:id="200"/>
      <w:bookmarkEnd w:id="201"/>
      <w:bookmarkEnd w:id="202"/>
    </w:p>
    <w:p w14:paraId="4837DA11">
      <w:pPr>
        <w:bidi w:val="0"/>
      </w:pPr>
      <w:r>
        <w:t>事件调查是针对卸甲峪水库饮用水水源地突发环境事件进行后期详细调查，在初步消除污染源对饮用水源地的影响后，以</w:t>
      </w:r>
      <w:r>
        <w:rPr>
          <w:rFonts w:hint="eastAsia" w:eastAsia="宋体"/>
          <w:lang w:eastAsia="zh-CN"/>
        </w:rPr>
        <w:t>区纪委监委</w:t>
      </w:r>
      <w:r>
        <w:t>与</w:t>
      </w:r>
      <w:r>
        <w:rPr>
          <w:rFonts w:hint="eastAsia"/>
          <w:lang w:eastAsia="zh-CN"/>
        </w:rPr>
        <w:t>市公安局武陵源分局</w:t>
      </w:r>
      <w:r>
        <w:t>牵头，联合多个部门，通过监测数据进行污染源分析、明察暗访等方式；明确事件性质分类，根据自然条件和社会经济特征，采取自然灾害、违法违规、生产事故等类别进行区分，根据不同类别区分，明确事故责任人。</w:t>
      </w:r>
    </w:p>
    <w:p w14:paraId="3707F475">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04" w:name="_Toc30647"/>
      <w:bookmarkStart w:id="205" w:name="_Toc18132"/>
      <w:bookmarkStart w:id="206" w:name="_Toc6165"/>
      <w:bookmarkStart w:id="207" w:name="_Toc18337"/>
      <w:bookmarkStart w:id="208" w:name="_Toc32728"/>
      <w:bookmarkStart w:id="209" w:name="_Toc24853"/>
      <w:r>
        <w:rPr>
          <w:rFonts w:ascii="Times New Roman" w:hAnsi="Times New Roman" w:eastAsia="宋体" w:cs="Times New Roman"/>
          <w:b/>
          <w:bCs/>
          <w:kern w:val="2"/>
          <w:sz w:val="32"/>
          <w:szCs w:val="32"/>
          <w:lang w:val="en-US" w:eastAsia="zh-CN" w:bidi="ar-SA"/>
        </w:rPr>
        <w:t>4.3</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损害评估</w:t>
      </w:r>
      <w:bookmarkEnd w:id="203"/>
      <w:bookmarkEnd w:id="204"/>
      <w:bookmarkEnd w:id="205"/>
      <w:bookmarkEnd w:id="206"/>
      <w:bookmarkEnd w:id="207"/>
      <w:bookmarkEnd w:id="208"/>
      <w:bookmarkEnd w:id="209"/>
    </w:p>
    <w:p w14:paraId="7BFE3724">
      <w:pPr>
        <w:bidi w:val="0"/>
      </w:pPr>
      <w:r>
        <w:t>应急终止后，应急组织指挥机构组织具备一定环境科学、环境经济和水质安全防控等学科背景的专业组织或机构开展评估。</w:t>
      </w:r>
      <w:r>
        <w:rPr>
          <w:rFonts w:hint="eastAsia"/>
          <w:lang w:eastAsia="zh-CN"/>
        </w:rPr>
        <w:t>市生态环境局武陵源分局</w:t>
      </w:r>
      <w:r>
        <w:t>配合提供事件应急处置和事件损害基本信息</w:t>
      </w:r>
      <w:r>
        <w:rPr>
          <w:rFonts w:hint="eastAsia"/>
          <w:lang w:eastAsia="zh-CN"/>
        </w:rPr>
        <w:t>，由</w:t>
      </w:r>
      <w:r>
        <w:t>评估组织或机构制定详细的评估工作计划，重点分类统计突发事件造成的财产损害、事件应急处置费用、水源地环境修复费用等，科学量化事件造成的损失数额。</w:t>
      </w:r>
    </w:p>
    <w:p w14:paraId="11B0F9CB">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10" w:name="_Toc22703"/>
      <w:bookmarkStart w:id="211" w:name="_Toc15780"/>
      <w:bookmarkStart w:id="212" w:name="_Toc1191"/>
      <w:bookmarkStart w:id="213" w:name="_Toc29368"/>
      <w:bookmarkStart w:id="214" w:name="_Toc14033"/>
      <w:bookmarkStart w:id="215" w:name="_Toc28214"/>
      <w:bookmarkStart w:id="216" w:name="_Toc10721"/>
      <w:r>
        <w:rPr>
          <w:rFonts w:ascii="Times New Roman" w:hAnsi="Times New Roman" w:eastAsia="宋体" w:cs="Times New Roman"/>
          <w:b/>
          <w:bCs/>
          <w:kern w:val="2"/>
          <w:sz w:val="32"/>
          <w:szCs w:val="32"/>
          <w:lang w:val="en-US" w:eastAsia="zh-CN" w:bidi="ar-SA"/>
        </w:rPr>
        <w:t>4.4</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善后处置</w:t>
      </w:r>
      <w:bookmarkEnd w:id="210"/>
      <w:bookmarkEnd w:id="211"/>
      <w:bookmarkEnd w:id="212"/>
      <w:bookmarkEnd w:id="213"/>
      <w:bookmarkEnd w:id="214"/>
      <w:bookmarkEnd w:id="215"/>
      <w:bookmarkEnd w:id="216"/>
    </w:p>
    <w:p w14:paraId="2A2C4B74">
      <w:pPr>
        <w:bidi w:val="0"/>
      </w:pPr>
      <w:r>
        <w:t>（1）在区委、区政府统一指挥下，各有关部门在各自的职责范围内组织实施善后处置工作，组织有关专家对受灾范围进行科学评估，提出补偿和对遭受污染的生态环境进行恢复和监管的建议。</w:t>
      </w:r>
    </w:p>
    <w:p w14:paraId="7E2E0F0B">
      <w:pPr>
        <w:bidi w:val="0"/>
      </w:pPr>
      <w:r>
        <w:t>（2）各部门应当做好安民、安抚、理赔工作，相应机构应当做好社会救助、保险赔付等工作。</w:t>
      </w:r>
    </w:p>
    <w:p w14:paraId="0CA97084">
      <w:pPr>
        <w:bidi w:val="0"/>
      </w:pPr>
      <w:r>
        <w:t>（3）参加应急行动的部门负责组织、指导环境应急队伍维护、保养应急仪器设备，使之始终保持良好的技术状态。</w:t>
      </w:r>
    </w:p>
    <w:p w14:paraId="32F26535">
      <w:pPr>
        <w:bidi w:val="0"/>
      </w:pPr>
      <w:r>
        <w:t>（4）</w:t>
      </w:r>
      <w:r>
        <w:rPr>
          <w:rFonts w:hint="eastAsia"/>
        </w:rPr>
        <w:t>生态环境分局</w:t>
      </w:r>
      <w:r>
        <w:t>、卫健局继续跟踪饮用水源水质的监测，及时掌握情况，做好处置。</w:t>
      </w:r>
    </w:p>
    <w:p w14:paraId="0BFE5222">
      <w:pPr>
        <w:keepNext/>
        <w:keepLines/>
        <w:widowControl w:val="0"/>
        <w:bidi w:val="0"/>
        <w:spacing w:before="200" w:after="100" w:line="416" w:lineRule="auto"/>
        <w:ind w:firstLine="0" w:firstLineChars="0"/>
        <w:jc w:val="both"/>
        <w:outlineLvl w:val="1"/>
        <w:rPr>
          <w:rFonts w:ascii="Cambria" w:hAnsi="Cambria" w:eastAsia="宋体" w:cs="Times New Roman"/>
          <w:b/>
          <w:bCs/>
          <w:kern w:val="2"/>
          <w:sz w:val="32"/>
          <w:szCs w:val="32"/>
          <w:lang w:val="en-US" w:eastAsia="zh-CN" w:bidi="ar-SA"/>
        </w:rPr>
      </w:pPr>
      <w:bookmarkStart w:id="217" w:name="_Toc4790"/>
      <w:bookmarkStart w:id="218" w:name="_Toc22733"/>
      <w:bookmarkStart w:id="219" w:name="_Toc3405"/>
      <w:bookmarkStart w:id="220" w:name="_Toc31411"/>
      <w:bookmarkStart w:id="221" w:name="_Toc4653"/>
      <w:bookmarkStart w:id="222" w:name="_Toc7906"/>
      <w:bookmarkStart w:id="223" w:name="_Toc5192"/>
      <w:bookmarkStart w:id="224" w:name="_Toc12055"/>
      <w:r>
        <w:rPr>
          <w:rFonts w:hint="eastAsia" w:ascii="Cambria" w:hAnsi="Cambria" w:eastAsia="宋体" w:cs="Times New Roman"/>
          <w:b/>
          <w:bCs/>
          <w:kern w:val="2"/>
          <w:sz w:val="32"/>
          <w:szCs w:val="32"/>
          <w:lang w:val="en-US" w:eastAsia="zh-CN" w:bidi="ar-SA"/>
        </w:rPr>
        <w:t>5</w:t>
      </w:r>
      <w:r>
        <w:rPr>
          <w:rFonts w:ascii="Cambria" w:hAnsi="Cambria" w:eastAsia="宋体" w:cs="Times New Roman"/>
          <w:b/>
          <w:bCs/>
          <w:kern w:val="2"/>
          <w:sz w:val="32"/>
          <w:szCs w:val="32"/>
          <w:lang w:val="en-US" w:eastAsia="zh-CN" w:bidi="ar-SA"/>
        </w:rPr>
        <w:t>、应急保障</w:t>
      </w:r>
      <w:bookmarkEnd w:id="217"/>
      <w:bookmarkEnd w:id="218"/>
      <w:bookmarkEnd w:id="219"/>
      <w:bookmarkEnd w:id="220"/>
      <w:bookmarkEnd w:id="221"/>
      <w:bookmarkEnd w:id="222"/>
      <w:bookmarkEnd w:id="223"/>
      <w:bookmarkEnd w:id="224"/>
    </w:p>
    <w:p w14:paraId="33CDA53E">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25" w:name="_Toc22037"/>
      <w:bookmarkStart w:id="226" w:name="_Toc17707"/>
      <w:bookmarkStart w:id="227" w:name="_Toc21220"/>
      <w:bookmarkStart w:id="228" w:name="_Toc26592"/>
      <w:bookmarkStart w:id="229" w:name="_Toc1306"/>
      <w:bookmarkStart w:id="230" w:name="_Toc1580"/>
      <w:bookmarkStart w:id="231" w:name="_Toc24353"/>
      <w:r>
        <w:rPr>
          <w:rFonts w:ascii="Times New Roman" w:hAnsi="Times New Roman" w:eastAsia="宋体" w:cs="Times New Roman"/>
          <w:b/>
          <w:bCs/>
          <w:kern w:val="2"/>
          <w:sz w:val="32"/>
          <w:szCs w:val="32"/>
          <w:lang w:val="en-US" w:eastAsia="zh-CN" w:bidi="ar-SA"/>
        </w:rPr>
        <w:t>5.1</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通讯与信息保障</w:t>
      </w:r>
      <w:bookmarkEnd w:id="225"/>
      <w:bookmarkEnd w:id="226"/>
      <w:bookmarkEnd w:id="227"/>
      <w:bookmarkEnd w:id="228"/>
      <w:bookmarkEnd w:id="229"/>
      <w:bookmarkEnd w:id="230"/>
      <w:bookmarkEnd w:id="231"/>
    </w:p>
    <w:p w14:paraId="6B1332A2">
      <w:pPr>
        <w:bidi w:val="0"/>
      </w:pPr>
      <w:r>
        <w:t>指挥机构建立和完善环境安全应急指挥系统、环境应急处置联动系统和环境安全科学预警系统，配备必要的有线、无线通信器材，确保本预案启动时应急指挥部、各专业应急救援队伍之间的联络畅通。电信运营各单位要将环境应急相关专业部门列入重要通信用户，保障应急通信。</w:t>
      </w:r>
    </w:p>
    <w:p w14:paraId="3A0CF46C">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32" w:name="_Toc16267"/>
      <w:bookmarkStart w:id="233" w:name="_Toc25366"/>
      <w:bookmarkStart w:id="234" w:name="_Toc15932"/>
      <w:bookmarkStart w:id="235" w:name="_Toc30984"/>
      <w:bookmarkStart w:id="236" w:name="_Toc5961"/>
      <w:bookmarkStart w:id="237" w:name="_Toc17226"/>
      <w:bookmarkStart w:id="238" w:name="_Toc2561"/>
      <w:r>
        <w:rPr>
          <w:rFonts w:ascii="Times New Roman" w:hAnsi="Times New Roman" w:eastAsia="宋体" w:cs="Times New Roman"/>
          <w:b/>
          <w:bCs/>
          <w:kern w:val="2"/>
          <w:sz w:val="32"/>
          <w:szCs w:val="32"/>
          <w:lang w:val="en-US" w:eastAsia="zh-CN" w:bidi="ar-SA"/>
        </w:rPr>
        <w:t>5.2</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应急队伍保障</w:t>
      </w:r>
      <w:bookmarkEnd w:id="232"/>
      <w:bookmarkEnd w:id="233"/>
      <w:bookmarkEnd w:id="234"/>
      <w:bookmarkEnd w:id="235"/>
      <w:bookmarkEnd w:id="236"/>
      <w:bookmarkEnd w:id="237"/>
      <w:bookmarkEnd w:id="238"/>
    </w:p>
    <w:p w14:paraId="57C3DD24">
      <w:pPr>
        <w:bidi w:val="0"/>
      </w:pPr>
      <w:r>
        <w:t>加强环境应急队伍的建设，建立和培训一支常备不懈，掌握处置饮用水源突发污染事故能力的应急力量。应急救援机构和人员通讯录见第一部分内容第六章节。</w:t>
      </w:r>
    </w:p>
    <w:p w14:paraId="488AA5E7">
      <w:pPr>
        <w:bidi w:val="0"/>
      </w:pPr>
      <w:r>
        <w:t>应急队伍培训应每年一次，包括信息报告、个体防护、应急资源使用、应急监测布点及监测方法、应急处置方法等培训科目。要做好日常的应急准备，包括车辆、检测仪器及有关防护用具、药品等。不定期组织实战演练，提高处置的技能。</w:t>
      </w:r>
    </w:p>
    <w:p w14:paraId="50A79ADB">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39" w:name="_Toc25336"/>
      <w:bookmarkStart w:id="240" w:name="_Toc22810"/>
      <w:bookmarkStart w:id="241" w:name="_Toc17250"/>
      <w:bookmarkStart w:id="242" w:name="_Toc29033"/>
      <w:bookmarkStart w:id="243" w:name="_Toc13333"/>
      <w:bookmarkStart w:id="244" w:name="_Toc7339"/>
      <w:bookmarkStart w:id="245" w:name="_Toc18304"/>
      <w:r>
        <w:rPr>
          <w:rFonts w:ascii="Times New Roman" w:hAnsi="Times New Roman" w:eastAsia="宋体" w:cs="Times New Roman"/>
          <w:b/>
          <w:bCs/>
          <w:kern w:val="2"/>
          <w:sz w:val="32"/>
          <w:szCs w:val="32"/>
          <w:lang w:val="en-US" w:eastAsia="zh-CN" w:bidi="ar-SA"/>
        </w:rPr>
        <w:t>5.3</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应急资源保障</w:t>
      </w:r>
      <w:bookmarkEnd w:id="239"/>
      <w:bookmarkEnd w:id="240"/>
      <w:bookmarkEnd w:id="241"/>
      <w:bookmarkEnd w:id="242"/>
      <w:bookmarkEnd w:id="243"/>
      <w:bookmarkEnd w:id="244"/>
      <w:bookmarkEnd w:id="245"/>
    </w:p>
    <w:p w14:paraId="5BBD71A1">
      <w:pPr>
        <w:bidi w:val="0"/>
      </w:pPr>
      <w:r>
        <w:t>政府及相关专业指挥机构的应急队伍要根据《武陵源区突发环境事件应急预案》要求，建立处理突发环境事件的日常和战时两级物资储备，增加储备必要的应急处置、快速机动和自身防护装备和物资，维护、保养好应急仪器和设备，使之始终保持良好的技术状态，确保参加处置突发环境事件时救助人员的自身安全，及时有效地防止环境污染和扩散。具体应急物资见第一部分内容第六章节</w:t>
      </w:r>
    </w:p>
    <w:p w14:paraId="66333B1F">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46" w:name="_Toc25271"/>
      <w:bookmarkStart w:id="247" w:name="_Toc27044"/>
      <w:bookmarkStart w:id="248" w:name="_Toc11729"/>
      <w:bookmarkStart w:id="249" w:name="_Toc18947"/>
      <w:bookmarkStart w:id="250" w:name="_Toc19891"/>
      <w:bookmarkStart w:id="251" w:name="_Toc17907"/>
      <w:bookmarkStart w:id="252" w:name="_Toc16449"/>
      <w:r>
        <w:rPr>
          <w:rFonts w:ascii="Times New Roman" w:hAnsi="Times New Roman" w:eastAsia="宋体" w:cs="Times New Roman"/>
          <w:b/>
          <w:bCs/>
          <w:kern w:val="2"/>
          <w:sz w:val="32"/>
          <w:szCs w:val="32"/>
          <w:lang w:val="en-US" w:eastAsia="zh-CN" w:bidi="ar-SA"/>
        </w:rPr>
        <w:t>5.4</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经费保障</w:t>
      </w:r>
      <w:bookmarkEnd w:id="246"/>
      <w:bookmarkEnd w:id="247"/>
      <w:bookmarkEnd w:id="248"/>
      <w:bookmarkEnd w:id="249"/>
      <w:bookmarkEnd w:id="250"/>
      <w:bookmarkEnd w:id="251"/>
      <w:bookmarkEnd w:id="252"/>
    </w:p>
    <w:p w14:paraId="084F9400">
      <w:pPr>
        <w:bidi w:val="0"/>
      </w:pPr>
      <w:r>
        <w:t>财政部门应保障处置武陵源区卸甲峪水库集中式饮用水源保护区突发环境事件的应急基础设施建设、救助防护装备、应急监测装备和日常运转经费、突发事件处理经费支出。所需经费列入区政府财政预算，捐助资金纳入财政专户管理，统一安排使用。</w:t>
      </w:r>
    </w:p>
    <w:p w14:paraId="7EFD7ABB">
      <w:pPr>
        <w:keepNext/>
        <w:keepLines/>
        <w:widowControl w:val="0"/>
        <w:bidi w:val="0"/>
        <w:spacing w:before="200" w:after="100" w:line="416" w:lineRule="auto"/>
        <w:ind w:firstLine="0" w:firstLineChars="0"/>
        <w:jc w:val="both"/>
        <w:outlineLvl w:val="1"/>
        <w:rPr>
          <w:rFonts w:ascii="Cambria" w:hAnsi="Cambria" w:eastAsia="宋体" w:cs="Times New Roman"/>
          <w:b/>
          <w:bCs/>
          <w:kern w:val="2"/>
          <w:sz w:val="32"/>
          <w:szCs w:val="32"/>
          <w:lang w:val="en-US" w:eastAsia="zh-CN" w:bidi="ar-SA"/>
        </w:rPr>
      </w:pPr>
      <w:bookmarkStart w:id="253" w:name="_Toc15875"/>
      <w:bookmarkStart w:id="254" w:name="_Toc524683002"/>
      <w:bookmarkStart w:id="255" w:name="_Toc9716"/>
      <w:bookmarkStart w:id="256" w:name="_Toc5658"/>
      <w:bookmarkStart w:id="257" w:name="_Toc16583"/>
      <w:bookmarkStart w:id="258" w:name="_Toc18696"/>
      <w:bookmarkStart w:id="259" w:name="_Toc4740"/>
      <w:bookmarkStart w:id="260" w:name="_Toc4496"/>
      <w:bookmarkStart w:id="261" w:name="_Toc519688380"/>
      <w:bookmarkStart w:id="262" w:name="_Toc22696_WPSOffice_Level1"/>
      <w:bookmarkStart w:id="263" w:name="_Toc522607544"/>
      <w:bookmarkStart w:id="264" w:name="_Toc9361"/>
      <w:r>
        <w:rPr>
          <w:rFonts w:hint="eastAsia" w:ascii="Cambria" w:hAnsi="Cambria" w:eastAsia="宋体" w:cs="Times New Roman"/>
          <w:b/>
          <w:bCs/>
          <w:kern w:val="2"/>
          <w:sz w:val="32"/>
          <w:szCs w:val="32"/>
          <w:lang w:val="en-US" w:eastAsia="zh-CN" w:bidi="ar-SA"/>
        </w:rPr>
        <w:t>6</w:t>
      </w:r>
      <w:r>
        <w:rPr>
          <w:rFonts w:ascii="Cambria" w:hAnsi="Cambria" w:eastAsia="宋体" w:cs="Times New Roman"/>
          <w:b/>
          <w:bCs/>
          <w:kern w:val="2"/>
          <w:sz w:val="32"/>
          <w:szCs w:val="32"/>
          <w:lang w:val="en-US" w:eastAsia="zh-CN" w:bidi="ar-SA"/>
        </w:rPr>
        <w:t>、预案演练</w:t>
      </w:r>
      <w:bookmarkEnd w:id="253"/>
      <w:bookmarkEnd w:id="254"/>
      <w:bookmarkEnd w:id="255"/>
      <w:bookmarkEnd w:id="256"/>
      <w:bookmarkEnd w:id="257"/>
      <w:bookmarkEnd w:id="258"/>
      <w:bookmarkEnd w:id="259"/>
      <w:bookmarkEnd w:id="260"/>
      <w:bookmarkEnd w:id="261"/>
      <w:bookmarkEnd w:id="262"/>
      <w:bookmarkEnd w:id="263"/>
      <w:bookmarkEnd w:id="264"/>
    </w:p>
    <w:p w14:paraId="2AB09A49">
      <w:pPr>
        <w:bidi w:val="0"/>
      </w:pPr>
      <w:r>
        <w:t>《武陵源区卸甲峪水库饮用水水源地应急预案》实施后，由</w:t>
      </w:r>
      <w:r>
        <w:rPr>
          <w:rFonts w:hint="eastAsia" w:eastAsia="宋体"/>
          <w:lang w:eastAsia="zh-CN"/>
        </w:rPr>
        <w:t>区应急管理局</w:t>
      </w:r>
      <w:r>
        <w:t>组织预案演练和修订。应急演练每年一次，演练内容主要包括在事故期间通讯系统是否正常运作、信息报送流程、各小组配合情况、人员应急能力等。要对演练情况进行总结分析、评价，之后及时修订完善预案。</w:t>
      </w:r>
    </w:p>
    <w:p w14:paraId="64CE2C48">
      <w:pPr>
        <w:keepNext/>
        <w:keepLines/>
        <w:widowControl w:val="0"/>
        <w:bidi w:val="0"/>
        <w:spacing w:before="100" w:line="416" w:lineRule="auto"/>
        <w:ind w:firstLine="0" w:firstLineChars="0"/>
        <w:jc w:val="both"/>
        <w:outlineLvl w:val="2"/>
        <w:rPr>
          <w:rFonts w:hint="default" w:ascii="Times New Roman" w:hAnsi="Times New Roman" w:eastAsia="宋体" w:cs="Times New Roman"/>
          <w:b/>
          <w:bCs/>
          <w:kern w:val="2"/>
          <w:sz w:val="32"/>
          <w:szCs w:val="32"/>
          <w:lang w:val="en-US" w:eastAsia="zh-CN" w:bidi="ar-SA"/>
        </w:rPr>
      </w:pPr>
      <w:bookmarkStart w:id="265" w:name="_Toc25761"/>
      <w:bookmarkStart w:id="266" w:name="_Toc19974"/>
      <w:bookmarkStart w:id="267" w:name="_Toc31638"/>
      <w:bookmarkStart w:id="268" w:name="_Toc3133"/>
      <w:bookmarkStart w:id="269" w:name="_Toc11234_WPSOffice_Level2"/>
      <w:bookmarkStart w:id="270" w:name="_Toc21937"/>
      <w:bookmarkStart w:id="271" w:name="_Toc522607545"/>
      <w:bookmarkStart w:id="272" w:name="_Toc11096"/>
      <w:bookmarkStart w:id="273" w:name="_Toc13620"/>
      <w:bookmarkStart w:id="274" w:name="_Toc519688381"/>
      <w:r>
        <w:rPr>
          <w:rFonts w:ascii="Times New Roman" w:hAnsi="Times New Roman" w:eastAsia="宋体" w:cs="Times New Roman"/>
          <w:b/>
          <w:bCs/>
          <w:kern w:val="2"/>
          <w:sz w:val="32"/>
          <w:szCs w:val="32"/>
          <w:lang w:val="en-US" w:eastAsia="zh-CN" w:bidi="ar-SA"/>
        </w:rPr>
        <w:t>6.1</w:t>
      </w:r>
      <w:r>
        <w:rPr>
          <w:rFonts w:hint="eastAsia" w:ascii="Times New Roman" w:hAnsi="Times New Roman" w:eastAsia="宋体" w:cs="Times New Roman"/>
          <w:b/>
          <w:bCs/>
          <w:kern w:val="2"/>
          <w:sz w:val="32"/>
          <w:szCs w:val="32"/>
          <w:lang w:val="en-US" w:eastAsia="zh-CN" w:bidi="ar-SA"/>
        </w:rPr>
        <w:t xml:space="preserve"> 应急演练的宣传和学习</w:t>
      </w:r>
      <w:bookmarkEnd w:id="265"/>
      <w:bookmarkEnd w:id="266"/>
    </w:p>
    <w:p w14:paraId="0FFD71E6">
      <w:pPr>
        <w:keepNext/>
        <w:keepLines/>
        <w:widowControl w:val="0"/>
        <w:spacing w:line="377" w:lineRule="auto"/>
        <w:ind w:firstLine="0" w:firstLineChars="0"/>
        <w:jc w:val="both"/>
        <w:outlineLvl w:val="3"/>
        <w:rPr>
          <w:rFonts w:hint="default"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 xml:space="preserve">6.1.1 </w:t>
      </w:r>
      <w:r>
        <w:rPr>
          <w:rFonts w:hint="default" w:ascii="Cambria" w:hAnsi="Cambria" w:eastAsia="宋体" w:cs="Times New Roman"/>
          <w:b/>
          <w:bCs/>
          <w:kern w:val="2"/>
          <w:sz w:val="28"/>
          <w:szCs w:val="28"/>
          <w:lang w:val="en-US" w:eastAsia="zh-CN" w:bidi="ar-SA"/>
        </w:rPr>
        <w:t>理论常识和经验学习</w:t>
      </w:r>
    </w:p>
    <w:p w14:paraId="62D58251">
      <w:pPr>
        <w:rPr>
          <w:rFonts w:hint="eastAsia" w:eastAsia="宋体"/>
          <w:lang w:eastAsia="zh-CN"/>
        </w:rPr>
      </w:pPr>
      <w:r>
        <w:rPr>
          <w:rFonts w:hint="default"/>
        </w:rPr>
        <w:t>1、</w:t>
      </w:r>
      <w:r>
        <w:rPr>
          <w:rFonts w:hint="eastAsia" w:ascii="Times New Roman" w:eastAsia="宋体"/>
          <w:lang w:val="en-US" w:eastAsia="zh-CN"/>
        </w:rPr>
        <w:t>学习</w:t>
      </w:r>
      <w:r>
        <w:rPr>
          <w:rFonts w:hint="default"/>
        </w:rPr>
        <w:t>应急管理法律、法规和相关政策</w:t>
      </w:r>
      <w:r>
        <w:rPr>
          <w:rFonts w:hint="eastAsia" w:eastAsia="宋体"/>
          <w:lang w:eastAsia="zh-CN"/>
        </w:rPr>
        <w:t>。</w:t>
      </w:r>
    </w:p>
    <w:p w14:paraId="3C62779C">
      <w:pPr>
        <w:rPr>
          <w:rFonts w:hint="default" w:eastAsia="宋体"/>
          <w:lang w:val="en-US" w:eastAsia="zh-CN"/>
        </w:rPr>
      </w:pPr>
      <w:r>
        <w:rPr>
          <w:rFonts w:hint="default"/>
        </w:rPr>
        <w:t>2、</w:t>
      </w:r>
      <w:r>
        <w:rPr>
          <w:rFonts w:hint="eastAsia" w:ascii="Times New Roman" w:eastAsia="宋体"/>
          <w:lang w:val="en-US" w:eastAsia="zh-CN"/>
        </w:rPr>
        <w:t>学会</w:t>
      </w:r>
      <w:r>
        <w:rPr>
          <w:rFonts w:hint="default"/>
        </w:rPr>
        <w:t>突发事件的种类、特点和危害，预防、</w:t>
      </w:r>
      <w:r>
        <w:rPr>
          <w:rFonts w:hint="eastAsia" w:ascii="Times New Roman" w:eastAsia="宋体"/>
          <w:lang w:val="en-US" w:eastAsia="zh-CN"/>
        </w:rPr>
        <w:t>处置</w:t>
      </w:r>
      <w:r>
        <w:rPr>
          <w:rFonts w:hint="default"/>
        </w:rPr>
        <w:t>的基本</w:t>
      </w:r>
      <w:r>
        <w:rPr>
          <w:rFonts w:hint="eastAsia" w:ascii="Times New Roman" w:eastAsia="宋体"/>
          <w:lang w:val="en-US" w:eastAsia="zh-CN"/>
        </w:rPr>
        <w:t>方法方式。</w:t>
      </w:r>
    </w:p>
    <w:p w14:paraId="3AC08BC5">
      <w:pPr>
        <w:rPr>
          <w:rFonts w:hint="eastAsia" w:eastAsia="宋体"/>
          <w:lang w:eastAsia="zh-CN"/>
        </w:rPr>
      </w:pPr>
      <w:r>
        <w:rPr>
          <w:rFonts w:hint="default"/>
        </w:rPr>
        <w:t>3、</w:t>
      </w:r>
      <w:r>
        <w:rPr>
          <w:rFonts w:hint="eastAsia" w:ascii="Times New Roman" w:eastAsia="宋体"/>
          <w:lang w:val="en-US" w:eastAsia="zh-CN"/>
        </w:rPr>
        <w:t>掌握</w:t>
      </w:r>
      <w:r>
        <w:rPr>
          <w:rFonts w:hint="default"/>
        </w:rPr>
        <w:t>应急预案的重要内容和处置规程</w:t>
      </w:r>
      <w:r>
        <w:rPr>
          <w:rFonts w:hint="eastAsia" w:eastAsia="宋体"/>
          <w:lang w:eastAsia="zh-CN"/>
        </w:rPr>
        <w:t>。</w:t>
      </w:r>
    </w:p>
    <w:p w14:paraId="55D08AEF">
      <w:pPr>
        <w:keepNext/>
        <w:keepLines/>
        <w:widowControl w:val="0"/>
        <w:spacing w:line="377" w:lineRule="auto"/>
        <w:ind w:firstLine="0" w:firstLineChars="0"/>
        <w:jc w:val="both"/>
        <w:outlineLvl w:val="3"/>
        <w:rPr>
          <w:rFonts w:hint="default"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 xml:space="preserve">6.1.2 </w:t>
      </w:r>
      <w:r>
        <w:rPr>
          <w:rFonts w:hint="default" w:ascii="Cambria" w:hAnsi="Cambria" w:eastAsia="宋体" w:cs="Times New Roman"/>
          <w:b/>
          <w:bCs/>
          <w:kern w:val="2"/>
          <w:sz w:val="28"/>
          <w:szCs w:val="28"/>
          <w:lang w:val="en-US" w:eastAsia="zh-CN" w:bidi="ar-SA"/>
        </w:rPr>
        <w:t>实践训练和安全宣传</w:t>
      </w:r>
    </w:p>
    <w:p w14:paraId="249F832B">
      <w:pPr>
        <w:rPr>
          <w:rFonts w:hint="eastAsia" w:eastAsia="宋体"/>
          <w:lang w:eastAsia="zh-CN"/>
        </w:rPr>
      </w:pPr>
      <w:r>
        <w:rPr>
          <w:rFonts w:hint="default"/>
        </w:rPr>
        <w:t>1、组织进行一次应急演练，通过设置紧急</w:t>
      </w:r>
      <w:r>
        <w:rPr>
          <w:rFonts w:hint="eastAsia" w:ascii="Times New Roman" w:eastAsia="宋体"/>
          <w:lang w:val="en-US" w:eastAsia="zh-CN"/>
        </w:rPr>
        <w:t>救援</w:t>
      </w:r>
      <w:r>
        <w:rPr>
          <w:rFonts w:hint="default"/>
        </w:rPr>
        <w:t>、应急</w:t>
      </w:r>
      <w:r>
        <w:rPr>
          <w:rFonts w:hint="eastAsia" w:ascii="Times New Roman" w:eastAsia="宋体"/>
          <w:lang w:val="en-US" w:eastAsia="zh-CN"/>
        </w:rPr>
        <w:t>处置</w:t>
      </w:r>
      <w:r>
        <w:rPr>
          <w:rFonts w:hint="default"/>
        </w:rPr>
        <w:t>和</w:t>
      </w:r>
      <w:r>
        <w:rPr>
          <w:rFonts w:hint="eastAsia" w:ascii="Times New Roman" w:eastAsia="宋体"/>
          <w:lang w:val="en-US" w:eastAsia="zh-CN"/>
        </w:rPr>
        <w:t>应急物资保障等环节</w:t>
      </w:r>
      <w:r>
        <w:rPr>
          <w:rFonts w:hint="default"/>
        </w:rPr>
        <w:t>，提高应对和处置突发事件的能力</w:t>
      </w:r>
      <w:r>
        <w:rPr>
          <w:rFonts w:hint="eastAsia" w:eastAsia="宋体"/>
          <w:lang w:eastAsia="zh-CN"/>
        </w:rPr>
        <w:t>。</w:t>
      </w:r>
    </w:p>
    <w:p w14:paraId="23263822">
      <w:pPr>
        <w:rPr>
          <w:rFonts w:hint="eastAsia" w:eastAsia="宋体"/>
          <w:lang w:eastAsia="zh-CN"/>
        </w:rPr>
      </w:pPr>
      <w:r>
        <w:rPr>
          <w:rFonts w:hint="default"/>
        </w:rPr>
        <w:t>2、宣传期间，组织</w:t>
      </w:r>
      <w:r>
        <w:rPr>
          <w:rFonts w:hint="eastAsia" w:ascii="Times New Roman" w:eastAsia="宋体"/>
          <w:lang w:val="en-US" w:eastAsia="zh-CN"/>
        </w:rPr>
        <w:t>单位</w:t>
      </w:r>
      <w:r>
        <w:rPr>
          <w:rFonts w:hint="default"/>
        </w:rPr>
        <w:t>观看</w:t>
      </w:r>
      <w:r>
        <w:rPr>
          <w:rFonts w:hint="eastAsia" w:ascii="Times New Roman" w:eastAsia="宋体"/>
          <w:lang w:val="en-US" w:eastAsia="zh-CN"/>
        </w:rPr>
        <w:t>相关处理水源地突发应急处置</w:t>
      </w:r>
      <w:r>
        <w:rPr>
          <w:rFonts w:hint="default"/>
        </w:rPr>
        <w:t>的影片</w:t>
      </w:r>
      <w:r>
        <w:rPr>
          <w:rFonts w:hint="eastAsia" w:eastAsia="宋体"/>
          <w:lang w:eastAsia="zh-CN"/>
        </w:rPr>
        <w:t>。</w:t>
      </w:r>
    </w:p>
    <w:p w14:paraId="252399FA">
      <w:pPr>
        <w:rPr>
          <w:rFonts w:hint="default"/>
        </w:rPr>
      </w:pPr>
      <w:r>
        <w:rPr>
          <w:rFonts w:hint="default"/>
        </w:rPr>
        <w:t>3、各</w:t>
      </w:r>
      <w:r>
        <w:rPr>
          <w:rFonts w:hint="eastAsia" w:ascii="Times New Roman" w:eastAsia="宋体"/>
          <w:lang w:val="en-US" w:eastAsia="zh-CN"/>
        </w:rPr>
        <w:t>单位</w:t>
      </w:r>
      <w:r>
        <w:rPr>
          <w:rFonts w:hint="default"/>
        </w:rPr>
        <w:t>召开一次应急</w:t>
      </w:r>
      <w:r>
        <w:rPr>
          <w:rFonts w:hint="eastAsia" w:ascii="Times New Roman" w:eastAsia="宋体"/>
          <w:lang w:val="en-US" w:eastAsia="zh-CN"/>
        </w:rPr>
        <w:t>预案</w:t>
      </w:r>
      <w:r>
        <w:rPr>
          <w:rFonts w:hint="default"/>
        </w:rPr>
        <w:t>主题会。</w:t>
      </w:r>
    </w:p>
    <w:p w14:paraId="565505D7">
      <w:pPr>
        <w:rPr>
          <w:rFonts w:hint="eastAsia" w:eastAsia="宋体"/>
          <w:lang w:val="en-US" w:eastAsia="zh-CN"/>
        </w:rPr>
      </w:pPr>
      <w:r>
        <w:rPr>
          <w:rFonts w:hint="default"/>
        </w:rPr>
        <w:t>4、风险排查。开展一次安全隐患排查。在排查过程中进一步宣传贯彻</w:t>
      </w:r>
      <w:r>
        <w:rPr>
          <w:rFonts w:hint="eastAsia" w:eastAsia="宋体"/>
          <w:lang w:eastAsia="zh-CN"/>
        </w:rPr>
        <w:t>应急</w:t>
      </w:r>
      <w:r>
        <w:rPr>
          <w:rFonts w:hint="eastAsia" w:ascii="Times New Roman" w:eastAsia="宋体"/>
          <w:lang w:val="en-US" w:eastAsia="zh-CN"/>
        </w:rPr>
        <w:t>预案中的应急对策</w:t>
      </w:r>
      <w:r>
        <w:rPr>
          <w:rFonts w:hint="eastAsia" w:eastAsia="宋体"/>
          <w:lang w:eastAsia="zh-CN"/>
        </w:rPr>
        <w:t>。</w:t>
      </w:r>
    </w:p>
    <w:p w14:paraId="0E40759D">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75" w:name="_Toc19525"/>
      <w:bookmarkStart w:id="276" w:name="_Toc29396"/>
      <w:r>
        <w:rPr>
          <w:rFonts w:hint="eastAsia" w:ascii="Times New Roman" w:hAnsi="Times New Roman" w:eastAsia="宋体" w:cs="Times New Roman"/>
          <w:b/>
          <w:bCs/>
          <w:kern w:val="2"/>
          <w:sz w:val="32"/>
          <w:szCs w:val="32"/>
          <w:lang w:val="en-US" w:eastAsia="zh-CN" w:bidi="ar-SA"/>
        </w:rPr>
        <w:t xml:space="preserve">6.2 </w:t>
      </w:r>
      <w:r>
        <w:rPr>
          <w:rFonts w:ascii="Times New Roman" w:hAnsi="Times New Roman" w:eastAsia="宋体" w:cs="Times New Roman"/>
          <w:b/>
          <w:bCs/>
          <w:kern w:val="2"/>
          <w:sz w:val="32"/>
          <w:szCs w:val="32"/>
          <w:lang w:val="en-US" w:eastAsia="zh-CN" w:bidi="ar-SA"/>
        </w:rPr>
        <w:t>应急演练的组织</w:t>
      </w:r>
      <w:bookmarkEnd w:id="267"/>
      <w:bookmarkEnd w:id="268"/>
      <w:bookmarkEnd w:id="269"/>
      <w:bookmarkEnd w:id="270"/>
      <w:bookmarkEnd w:id="271"/>
      <w:bookmarkEnd w:id="272"/>
      <w:bookmarkEnd w:id="273"/>
      <w:bookmarkEnd w:id="274"/>
      <w:bookmarkEnd w:id="275"/>
      <w:bookmarkEnd w:id="276"/>
    </w:p>
    <w:p w14:paraId="7DB226FD">
      <w:pPr>
        <w:bidi w:val="0"/>
      </w:pPr>
      <w:r>
        <w:t>应急演练选择红色预警一级突发环境事件。</w:t>
      </w:r>
    </w:p>
    <w:p w14:paraId="01435D89">
      <w:pPr>
        <w:bidi w:val="0"/>
      </w:pPr>
      <w:r>
        <w:t>为提高各部门应急救援队伍的应急处置能力，同时加强各部门间应急联动、协作能力，</w:t>
      </w:r>
      <w:r>
        <w:rPr>
          <w:rFonts w:hint="eastAsia" w:eastAsia="宋体"/>
          <w:lang w:eastAsia="zh-CN"/>
        </w:rPr>
        <w:t>区应急管理局</w:t>
      </w:r>
      <w:r>
        <w:t>定期组织（每年组织一次）武陵源区卸甲峪水库饮用水水源保护区突发环境事件实战演练，由</w:t>
      </w:r>
      <w:r>
        <w:rPr>
          <w:rFonts w:hint="eastAsia" w:eastAsia="宋体"/>
          <w:lang w:eastAsia="zh-CN"/>
        </w:rPr>
        <w:t>区应急管理局</w:t>
      </w:r>
      <w:r>
        <w:t>、</w:t>
      </w:r>
      <w:r>
        <w:rPr>
          <w:rFonts w:hint="eastAsia" w:eastAsia="宋体"/>
          <w:lang w:eastAsia="zh-CN"/>
        </w:rPr>
        <w:t>区纪委监委</w:t>
      </w:r>
      <w:r>
        <w:t>、区公安局、区财政局、</w:t>
      </w:r>
      <w:r>
        <w:rPr>
          <w:rFonts w:hint="eastAsia"/>
          <w:lang w:eastAsia="zh-CN"/>
        </w:rPr>
        <w:t>区自然资源和林业局</w:t>
      </w:r>
      <w:r>
        <w:t>、</w:t>
      </w:r>
      <w:r>
        <w:rPr>
          <w:rFonts w:hint="eastAsia"/>
          <w:lang w:eastAsia="zh-CN"/>
        </w:rPr>
        <w:t>市交警直属二大队</w:t>
      </w:r>
      <w:r>
        <w:rPr>
          <w:rFonts w:hint="eastAsia" w:eastAsia="宋体"/>
          <w:lang w:eastAsia="zh-CN"/>
        </w:rPr>
        <w:t>、</w:t>
      </w:r>
      <w:r>
        <w:rPr>
          <w:rFonts w:hint="eastAsia"/>
          <w:lang w:eastAsia="zh-CN"/>
        </w:rPr>
        <w:t>区城乡建设和交通运输局</w:t>
      </w:r>
      <w:r>
        <w:t>、</w:t>
      </w:r>
      <w:r>
        <w:rPr>
          <w:rFonts w:hint="eastAsia"/>
          <w:lang w:eastAsia="zh-CN"/>
        </w:rPr>
        <w:t>区农业农村水利局</w:t>
      </w:r>
      <w:r>
        <w:rPr>
          <w:rFonts w:hint="eastAsia" w:eastAsia="宋体"/>
          <w:lang w:eastAsia="zh-CN"/>
        </w:rPr>
        <w:t>、</w:t>
      </w:r>
      <w:r>
        <w:rPr>
          <w:rFonts w:hint="eastAsia"/>
          <w:lang w:eastAsia="zh-CN"/>
        </w:rPr>
        <w:t>区城乡建设和交通运输局</w:t>
      </w:r>
      <w:r>
        <w:t>、</w:t>
      </w:r>
      <w:r>
        <w:rPr>
          <w:rFonts w:hint="eastAsia"/>
          <w:lang w:eastAsia="zh-CN"/>
        </w:rPr>
        <w:t>区卫生健康局</w:t>
      </w:r>
      <w:r>
        <w:t>、</w:t>
      </w:r>
      <w:r>
        <w:rPr>
          <w:rFonts w:hint="eastAsia"/>
          <w:lang w:eastAsia="zh-CN"/>
        </w:rPr>
        <w:t>区城市管理和综合执法局</w:t>
      </w:r>
      <w:r>
        <w:t>、</w:t>
      </w:r>
      <w:r>
        <w:rPr>
          <w:rFonts w:hint="eastAsia"/>
          <w:lang w:eastAsia="zh-CN"/>
        </w:rPr>
        <w:t>市生态环境局武陵源分局</w:t>
      </w:r>
      <w:r>
        <w:t>、</w:t>
      </w:r>
      <w:bookmarkStart w:id="360" w:name="_GoBack"/>
      <w:bookmarkEnd w:id="360"/>
      <w:r>
        <w:rPr>
          <w:rFonts w:hint="eastAsia"/>
          <w:lang w:eastAsia="zh-CN"/>
        </w:rPr>
        <w:t>区民政和人力资源社会保障局</w:t>
      </w:r>
      <w:r>
        <w:rPr>
          <w:rFonts w:hint="eastAsia" w:eastAsia="宋体"/>
          <w:lang w:eastAsia="zh-CN"/>
        </w:rPr>
        <w:t>等</w:t>
      </w:r>
      <w:r>
        <w:t>部门共同参与应急演练，并由专人将应急演练过程以录像形式记录下来。演练组织流程见图6</w:t>
      </w:r>
      <w:r>
        <w:rPr>
          <w:rFonts w:hint="eastAsia" w:ascii="Times New Roman" w:eastAsia="宋体"/>
          <w:lang w:val="en-US" w:eastAsia="zh-CN"/>
        </w:rPr>
        <w:t>.2</w:t>
      </w:r>
      <w:r>
        <w:rPr>
          <w:rFonts w:hint="eastAsia"/>
        </w:rPr>
        <w:t>-</w:t>
      </w:r>
      <w:r>
        <w:t>1所示。</w:t>
      </w:r>
    </w:p>
    <w:p w14:paraId="628ACD40">
      <w:pPr>
        <w:bidi w:val="0"/>
        <w:ind w:left="0" w:leftChars="0" w:firstLine="0" w:firstLineChars="0"/>
      </w:pPr>
      <w:r>
        <mc:AlternateContent>
          <mc:Choice Requires="wpg">
            <w:drawing>
              <wp:inline distT="0" distB="0" distL="114300" distR="114300">
                <wp:extent cx="5640070" cy="1381125"/>
                <wp:effectExtent l="4445" t="4445" r="13335" b="5080"/>
                <wp:docPr id="9" name="组合 1"/>
                <wp:cNvGraphicFramePr/>
                <a:graphic xmlns:a="http://schemas.openxmlformats.org/drawingml/2006/main">
                  <a:graphicData uri="http://schemas.microsoft.com/office/word/2010/wordprocessingGroup">
                    <wpg:wgp>
                      <wpg:cNvGrpSpPr>
                        <a:grpSpLocks noRot="1"/>
                      </wpg:cNvGrpSpPr>
                      <wpg:grpSpPr>
                        <a:xfrm>
                          <a:off x="0" y="0"/>
                          <a:ext cx="5640070" cy="1381125"/>
                          <a:chOff x="5576" y="436901"/>
                          <a:chExt cx="9035" cy="2221"/>
                        </a:xfrm>
                      </wpg:grpSpPr>
                      <wps:wsp>
                        <wps:cNvPr id="1" name="AutoShape 1450"/>
                        <wps:cNvSpPr/>
                        <wps:spPr>
                          <a:xfrm>
                            <a:off x="12899" y="436901"/>
                            <a:ext cx="1712" cy="222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EF6698B">
                              <w:pPr>
                                <w:spacing w:line="240" w:lineRule="auto"/>
                                <w:ind w:firstLine="0"/>
                                <w:rPr>
                                  <w:sz w:val="21"/>
                                  <w:szCs w:val="21"/>
                                </w:rPr>
                              </w:pPr>
                              <w:r>
                                <w:rPr>
                                  <w:rFonts w:hint="eastAsia"/>
                                  <w:sz w:val="18"/>
                                  <w:szCs w:val="18"/>
                                </w:rPr>
                                <w:t>举行现场演练，全程摄像、拍照和记录整个演习过程，总结演练</w:t>
                              </w:r>
                            </w:p>
                          </w:txbxContent>
                        </wps:txbx>
                        <wps:bodyPr wrap="square" upright="1"/>
                      </wps:wsp>
                      <wps:wsp>
                        <wps:cNvPr id="2" name="AutoShape 1449"/>
                        <wps:cNvSpPr/>
                        <wps:spPr>
                          <a:xfrm>
                            <a:off x="10376" y="436931"/>
                            <a:ext cx="1803" cy="219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7364062">
                              <w:pPr>
                                <w:spacing w:line="240" w:lineRule="auto"/>
                                <w:ind w:firstLine="0"/>
                                <w:rPr>
                                  <w:sz w:val="21"/>
                                  <w:szCs w:val="21"/>
                                </w:rPr>
                              </w:pPr>
                              <w:r>
                                <w:rPr>
                                  <w:rFonts w:hint="eastAsia"/>
                                  <w:sz w:val="18"/>
                                  <w:szCs w:val="18"/>
                                </w:rPr>
                                <w:t>进行桌面演练，</w:t>
                              </w:r>
                              <w:r>
                                <w:rPr>
                                  <w:rFonts w:hint="eastAsia" w:eastAsia="宋体"/>
                                  <w:sz w:val="18"/>
                                  <w:szCs w:val="18"/>
                                  <w:lang w:eastAsia="zh-CN"/>
                                </w:rPr>
                                <w:t>区应急管理局</w:t>
                              </w:r>
                              <w:r>
                                <w:rPr>
                                  <w:rFonts w:hint="eastAsia"/>
                                  <w:sz w:val="18"/>
                                  <w:szCs w:val="18"/>
                                </w:rPr>
                                <w:t>点评桌面演练效果，提出重点注意的问题</w:t>
                              </w:r>
                            </w:p>
                          </w:txbxContent>
                        </wps:txbx>
                        <wps:bodyPr wrap="square" upright="1"/>
                      </wps:wsp>
                      <wps:wsp>
                        <wps:cNvPr id="3" name="AutoShape 1448"/>
                        <wps:cNvSpPr/>
                        <wps:spPr>
                          <a:xfrm>
                            <a:off x="7889" y="436901"/>
                            <a:ext cx="1773" cy="21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4C5629B">
                              <w:pPr>
                                <w:spacing w:line="240" w:lineRule="auto"/>
                                <w:ind w:firstLine="0"/>
                                <w:rPr>
                                  <w:sz w:val="21"/>
                                  <w:szCs w:val="21"/>
                                </w:rPr>
                              </w:pPr>
                              <w:r>
                                <w:rPr>
                                  <w:rFonts w:hint="eastAsia" w:eastAsia="宋体"/>
                                  <w:sz w:val="18"/>
                                  <w:szCs w:val="18"/>
                                  <w:lang w:eastAsia="zh-CN"/>
                                </w:rPr>
                                <w:t>区应急管理局</w:t>
                              </w:r>
                              <w:r>
                                <w:rPr>
                                  <w:rFonts w:hint="eastAsia"/>
                                  <w:sz w:val="18"/>
                                  <w:szCs w:val="18"/>
                                </w:rPr>
                                <w:t>组织二次演练协调会，核对准备进度，反馈问题，筹备桌面演练</w:t>
                              </w:r>
                            </w:p>
                          </w:txbxContent>
                        </wps:txbx>
                        <wps:bodyPr wrap="square" upright="1"/>
                      </wps:wsp>
                      <wps:wsp>
                        <wps:cNvPr id="4" name="AutoShape 1447"/>
                        <wps:cNvSpPr/>
                        <wps:spPr>
                          <a:xfrm>
                            <a:off x="5576" y="436931"/>
                            <a:ext cx="1743" cy="219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9511296">
                              <w:pPr>
                                <w:spacing w:line="240" w:lineRule="auto"/>
                                <w:ind w:firstLine="0"/>
                                <w:rPr>
                                  <w:sz w:val="18"/>
                                  <w:szCs w:val="18"/>
                                </w:rPr>
                              </w:pPr>
                              <w:r>
                                <w:rPr>
                                  <w:rFonts w:hint="eastAsia" w:eastAsia="宋体"/>
                                  <w:sz w:val="18"/>
                                  <w:szCs w:val="18"/>
                                  <w:lang w:eastAsia="zh-CN"/>
                                </w:rPr>
                                <w:t>区应急管理局</w:t>
                              </w:r>
                              <w:r>
                                <w:rPr>
                                  <w:rFonts w:hint="eastAsia"/>
                                  <w:sz w:val="18"/>
                                  <w:szCs w:val="18"/>
                                </w:rPr>
                                <w:t>组织一次演练协调会，讨论演练方案，明确演练分工</w:t>
                              </w:r>
                            </w:p>
                          </w:txbxContent>
                        </wps:txbx>
                        <wps:bodyPr wrap="square" upright="1"/>
                      </wps:wsp>
                      <wps:wsp>
                        <wps:cNvPr id="5" name="AutoShape 1455"/>
                        <wps:cNvSpPr/>
                        <wps:spPr>
                          <a:xfrm>
                            <a:off x="12179" y="437864"/>
                            <a:ext cx="720" cy="156"/>
                          </a:xfrm>
                          <a:prstGeom prst="rightArrow">
                            <a:avLst>
                              <a:gd name="adj1" fmla="val 50000"/>
                              <a:gd name="adj2" fmla="val 115384"/>
                            </a:avLst>
                          </a:prstGeom>
                          <a:solidFill>
                            <a:srgbClr val="000000"/>
                          </a:solidFill>
                          <a:ln w="9525" cap="flat" cmpd="sng">
                            <a:solidFill>
                              <a:srgbClr val="000000"/>
                            </a:solidFill>
                            <a:prstDash val="solid"/>
                            <a:miter/>
                            <a:headEnd type="none" w="med" len="med"/>
                            <a:tailEnd type="none" w="med" len="med"/>
                          </a:ln>
                        </wps:spPr>
                        <wps:bodyPr wrap="square" upright="1"/>
                      </wps:wsp>
                      <wps:wsp>
                        <wps:cNvPr id="6" name="AutoShape 1454"/>
                        <wps:cNvSpPr/>
                        <wps:spPr>
                          <a:xfrm>
                            <a:off x="9659" y="437864"/>
                            <a:ext cx="720" cy="156"/>
                          </a:xfrm>
                          <a:prstGeom prst="rightArrow">
                            <a:avLst>
                              <a:gd name="adj1" fmla="val 50000"/>
                              <a:gd name="adj2" fmla="val 115384"/>
                            </a:avLst>
                          </a:prstGeom>
                          <a:solidFill>
                            <a:srgbClr val="000000"/>
                          </a:solidFill>
                          <a:ln w="9525" cap="flat" cmpd="sng">
                            <a:solidFill>
                              <a:srgbClr val="000000"/>
                            </a:solidFill>
                            <a:prstDash val="solid"/>
                            <a:miter/>
                            <a:headEnd type="none" w="med" len="med"/>
                            <a:tailEnd type="none" w="med" len="med"/>
                          </a:ln>
                        </wps:spPr>
                        <wps:bodyPr wrap="square" upright="1"/>
                      </wps:wsp>
                      <wps:wsp>
                        <wps:cNvPr id="10" name="AutoShape 1453"/>
                        <wps:cNvSpPr/>
                        <wps:spPr>
                          <a:xfrm>
                            <a:off x="7319" y="437864"/>
                            <a:ext cx="567" cy="156"/>
                          </a:xfrm>
                          <a:prstGeom prst="rightArrow">
                            <a:avLst>
                              <a:gd name="adj1" fmla="val 50000"/>
                              <a:gd name="adj2" fmla="val 90865"/>
                            </a:avLst>
                          </a:prstGeom>
                          <a:solidFill>
                            <a:srgbClr val="000000"/>
                          </a:solidFill>
                          <a:ln w="9525" cap="flat" cmpd="sng">
                            <a:solidFill>
                              <a:srgbClr val="000000"/>
                            </a:solidFill>
                            <a:prstDash val="solid"/>
                            <a:miter/>
                            <a:headEnd type="none" w="med" len="med"/>
                            <a:tailEnd type="none" w="med" len="med"/>
                          </a:ln>
                        </wps:spPr>
                        <wps:bodyPr wrap="square" upright="1"/>
                      </wps:wsp>
                    </wpg:wgp>
                  </a:graphicData>
                </a:graphic>
              </wp:inline>
            </w:drawing>
          </mc:Choice>
          <mc:Fallback>
            <w:pict>
              <v:group id="组合 1" o:spid="_x0000_s1026" o:spt="203" style="height:108.75pt;width:444.1pt;" coordorigin="5576,436901" coordsize="9035,2221" o:gfxdata="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Asxyju1gAAAAUBAAAPAAAAAAAAAAEAIAAAACIAAABkcnMvZG93bnJldi54bWxQSwECFAAU&#10;AAAACACHTuJAWWyKt7sDAABoFQAADgAAAAAAAAABACAAAAAlAQAAZHJzL2Uyb0RvYy54bWxQSwUG&#10;AAAAAAYABgBZAQAAUgcAAAAA&#10;">
                <o:lock v:ext="edit" rotation="t" aspectratio="f"/>
                <v:roundrect id="AutoShape 1450" o:spid="_x0000_s1026" o:spt="2" style="position:absolute;left:12899;top:436901;height:2221;width:1712;" fillcolor="#FFFFFF" filled="t" stroked="t" coordsize="21600,21600" arcsize="0.166666666666667" o:gfxdata="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31qa5AAAA2g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7EF6698B">
                        <w:pPr>
                          <w:spacing w:line="240" w:lineRule="auto"/>
                          <w:ind w:firstLine="0"/>
                          <w:rPr>
                            <w:sz w:val="21"/>
                            <w:szCs w:val="21"/>
                          </w:rPr>
                        </w:pPr>
                        <w:r>
                          <w:rPr>
                            <w:rFonts w:hint="eastAsia"/>
                            <w:sz w:val="18"/>
                            <w:szCs w:val="18"/>
                          </w:rPr>
                          <w:t>举行现场演练，全程摄像、拍照和记录整个演习过程，总结演练</w:t>
                        </w:r>
                      </w:p>
                    </w:txbxContent>
                  </v:textbox>
                </v:roundrect>
                <v:roundrect id="AutoShape 1449" o:spid="_x0000_s1026" o:spt="2" style="position:absolute;left:10376;top:436931;height:2191;width:1803;" fillcolor="#FFFFFF" filled="t" stroked="t" coordsize="21600,21600" arcsize="0.166666666666667" o:gfxdata="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SNG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17364062">
                        <w:pPr>
                          <w:spacing w:line="240" w:lineRule="auto"/>
                          <w:ind w:firstLine="0"/>
                          <w:rPr>
                            <w:sz w:val="21"/>
                            <w:szCs w:val="21"/>
                          </w:rPr>
                        </w:pPr>
                        <w:r>
                          <w:rPr>
                            <w:rFonts w:hint="eastAsia"/>
                            <w:sz w:val="18"/>
                            <w:szCs w:val="18"/>
                          </w:rPr>
                          <w:t>进行桌面演练，</w:t>
                        </w:r>
                        <w:r>
                          <w:rPr>
                            <w:rFonts w:hint="eastAsia" w:eastAsia="宋体"/>
                            <w:sz w:val="18"/>
                            <w:szCs w:val="18"/>
                            <w:lang w:eastAsia="zh-CN"/>
                          </w:rPr>
                          <w:t>区应急管理局</w:t>
                        </w:r>
                        <w:r>
                          <w:rPr>
                            <w:rFonts w:hint="eastAsia"/>
                            <w:sz w:val="18"/>
                            <w:szCs w:val="18"/>
                          </w:rPr>
                          <w:t>点评桌面演练效果，提出重点注意的问题</w:t>
                        </w:r>
                      </w:p>
                    </w:txbxContent>
                  </v:textbox>
                </v:roundrect>
                <v:roundrect id="AutoShape 1448" o:spid="_x0000_s1026" o:spt="2" style="position:absolute;left:7889;top:436901;height:2152;width:1773;" fillcolor="#FFFFFF" filled="t" stroked="t" coordsize="21600,21600" arcsize="0.166666666666667" o:gfxdata="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p7Uq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04C5629B">
                        <w:pPr>
                          <w:spacing w:line="240" w:lineRule="auto"/>
                          <w:ind w:firstLine="0"/>
                          <w:rPr>
                            <w:sz w:val="21"/>
                            <w:szCs w:val="21"/>
                          </w:rPr>
                        </w:pPr>
                        <w:r>
                          <w:rPr>
                            <w:rFonts w:hint="eastAsia" w:eastAsia="宋体"/>
                            <w:sz w:val="18"/>
                            <w:szCs w:val="18"/>
                            <w:lang w:eastAsia="zh-CN"/>
                          </w:rPr>
                          <w:t>区应急管理局</w:t>
                        </w:r>
                        <w:r>
                          <w:rPr>
                            <w:rFonts w:hint="eastAsia"/>
                            <w:sz w:val="18"/>
                            <w:szCs w:val="18"/>
                          </w:rPr>
                          <w:t>组织二次演练协调会，核对准备进度，反馈问题，筹备桌面演练</w:t>
                        </w:r>
                      </w:p>
                    </w:txbxContent>
                  </v:textbox>
                </v:roundrect>
                <v:roundrect id="AutoShape 1447" o:spid="_x0000_s1026" o:spt="2" style="position:absolute;left:5576;top:436931;height:2191;width:1743;" fillcolor="#FFFFFF" filled="t" stroked="t" coordsize="21600,21600" arcsize="0.166666666666667" o:gfxdata="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AdT6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69511296">
                        <w:pPr>
                          <w:spacing w:line="240" w:lineRule="auto"/>
                          <w:ind w:firstLine="0"/>
                          <w:rPr>
                            <w:sz w:val="18"/>
                            <w:szCs w:val="18"/>
                          </w:rPr>
                        </w:pPr>
                        <w:r>
                          <w:rPr>
                            <w:rFonts w:hint="eastAsia" w:eastAsia="宋体"/>
                            <w:sz w:val="18"/>
                            <w:szCs w:val="18"/>
                            <w:lang w:eastAsia="zh-CN"/>
                          </w:rPr>
                          <w:t>区应急管理局</w:t>
                        </w:r>
                        <w:r>
                          <w:rPr>
                            <w:rFonts w:hint="eastAsia"/>
                            <w:sz w:val="18"/>
                            <w:szCs w:val="18"/>
                          </w:rPr>
                          <w:t>组织一次演练协调会，讨论演练方案，明确演练分工</w:t>
                        </w:r>
                      </w:p>
                    </w:txbxContent>
                  </v:textbox>
                </v:roundrect>
                <v:shape id="AutoShape 1455" o:spid="_x0000_s1026" o:spt="13" type="#_x0000_t13" style="position:absolute;left:12179;top:437864;height:156;width:720;" fillcolor="#000000" filled="t" stroked="t" coordsize="21600,21600" o:gfxdata="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jWD74A&#10;AADa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AutoShape 1454" o:spid="_x0000_s1026" o:spt="13" type="#_x0000_t13" style="position:absolute;left:9659;top:437864;height:156;width:720;" fillcolor="#000000" filled="t" stroked="t" coordsize="21600,21600" o:gfxdata="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pIeL4A&#10;AADa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AutoShape 1453" o:spid="_x0000_s1026" o:spt="13" type="#_x0000_t13" style="position:absolute;left:7319;top:437864;height:156;width:567;" fillcolor="#000000" filled="t" stroked="t" coordsize="21600,21600" o:gfxdata="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w/AL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w10:wrap type="none"/>
                <w10:anchorlock/>
              </v:group>
            </w:pict>
          </mc:Fallback>
        </mc:AlternateContent>
      </w:r>
    </w:p>
    <w:p w14:paraId="2BA029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sz w:val="24"/>
          <w:szCs w:val="24"/>
        </w:rPr>
      </w:pPr>
      <w:bookmarkStart w:id="277" w:name="_Toc519176898"/>
      <w:bookmarkStart w:id="278" w:name="_Toc522803236"/>
      <w:bookmarkStart w:id="279" w:name="_Toc514158776"/>
      <w:bookmarkStart w:id="280" w:name="_Toc514144441"/>
      <w:r>
        <w:rPr>
          <w:rFonts w:ascii="Times New Roman" w:hAnsi="Times New Roman" w:eastAsia="宋体"/>
          <w:sz w:val="24"/>
          <w:szCs w:val="24"/>
        </w:rPr>
        <w:t>图6</w:t>
      </w:r>
      <w:r>
        <w:rPr>
          <w:rFonts w:hint="eastAsia" w:ascii="Times New Roman" w:hAnsi="Times New Roman" w:eastAsia="宋体"/>
          <w:sz w:val="24"/>
          <w:szCs w:val="24"/>
          <w:lang w:val="en-US" w:eastAsia="zh-CN"/>
        </w:rPr>
        <w:t>.</w:t>
      </w:r>
      <w:r>
        <w:rPr>
          <w:rFonts w:hint="eastAsia" w:ascii="Times New Roman" w:eastAsia="宋体"/>
          <w:sz w:val="24"/>
          <w:szCs w:val="24"/>
          <w:lang w:val="en-US" w:eastAsia="zh-CN"/>
        </w:rPr>
        <w:t>2</w:t>
      </w:r>
      <w:r>
        <w:rPr>
          <w:rFonts w:hint="eastAsia" w:ascii="Times New Roman" w:hAnsi="Times New Roman" w:eastAsia="宋体"/>
          <w:sz w:val="24"/>
          <w:szCs w:val="24"/>
          <w:lang w:val="en-US" w:eastAsia="zh-CN"/>
        </w:rPr>
        <w:t>-1</w:t>
      </w:r>
      <w:r>
        <w:rPr>
          <w:rFonts w:ascii="Times New Roman" w:hAnsi="Times New Roman" w:eastAsia="宋体"/>
          <w:sz w:val="24"/>
          <w:szCs w:val="24"/>
        </w:rPr>
        <w:t>演练组织流程</w:t>
      </w:r>
      <w:bookmarkEnd w:id="277"/>
      <w:bookmarkEnd w:id="278"/>
      <w:bookmarkEnd w:id="279"/>
      <w:bookmarkEnd w:id="280"/>
    </w:p>
    <w:p w14:paraId="49CCEC5D">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81" w:name="_Toc31299"/>
      <w:bookmarkStart w:id="282" w:name="_Toc12506"/>
      <w:bookmarkStart w:id="283" w:name="_Toc7687"/>
      <w:bookmarkStart w:id="284" w:name="_Toc10313"/>
      <w:bookmarkStart w:id="285" w:name="_Toc27415"/>
      <w:bookmarkStart w:id="286" w:name="_Toc519688382"/>
      <w:bookmarkStart w:id="287" w:name="_Toc522607546"/>
      <w:bookmarkStart w:id="288" w:name="_Toc15708"/>
      <w:bookmarkStart w:id="289" w:name="_Toc5114_WPSOffice_Level2"/>
      <w:bookmarkStart w:id="290" w:name="_Toc13430"/>
      <w:r>
        <w:rPr>
          <w:rFonts w:ascii="Times New Roman" w:hAnsi="Times New Roman" w:eastAsia="宋体" w:cs="Times New Roman"/>
          <w:b/>
          <w:bCs/>
          <w:kern w:val="2"/>
          <w:sz w:val="32"/>
          <w:szCs w:val="32"/>
          <w:lang w:val="en-US" w:eastAsia="zh-CN" w:bidi="ar-SA"/>
        </w:rPr>
        <w:t>6.</w:t>
      </w:r>
      <w:r>
        <w:rPr>
          <w:rFonts w:hint="eastAsia" w:ascii="Times New Roman" w:hAnsi="Times New Roman" w:eastAsia="宋体" w:cs="Times New Roman"/>
          <w:b/>
          <w:bCs/>
          <w:kern w:val="2"/>
          <w:sz w:val="32"/>
          <w:szCs w:val="32"/>
          <w:lang w:val="en-US" w:eastAsia="zh-CN" w:bidi="ar-SA"/>
        </w:rPr>
        <w:t xml:space="preserve">3 </w:t>
      </w:r>
      <w:r>
        <w:rPr>
          <w:rFonts w:ascii="Times New Roman" w:hAnsi="Times New Roman" w:eastAsia="宋体" w:cs="Times New Roman"/>
          <w:b/>
          <w:bCs/>
          <w:kern w:val="2"/>
          <w:sz w:val="32"/>
          <w:szCs w:val="32"/>
          <w:lang w:val="en-US" w:eastAsia="zh-CN" w:bidi="ar-SA"/>
        </w:rPr>
        <w:t>应急演练内容</w:t>
      </w:r>
      <w:bookmarkEnd w:id="281"/>
      <w:bookmarkEnd w:id="282"/>
      <w:bookmarkEnd w:id="283"/>
      <w:bookmarkEnd w:id="284"/>
      <w:bookmarkEnd w:id="285"/>
      <w:bookmarkEnd w:id="286"/>
      <w:bookmarkEnd w:id="287"/>
      <w:bookmarkEnd w:id="288"/>
      <w:bookmarkEnd w:id="289"/>
      <w:bookmarkEnd w:id="290"/>
    </w:p>
    <w:p w14:paraId="4495975A">
      <w:pPr>
        <w:bidi w:val="0"/>
      </w:pPr>
      <w:r>
        <w:t>根据武陵源区卸甲峪水库饮用水水源保护区潜在的事故风险，演练的内容可包括：</w:t>
      </w:r>
    </w:p>
    <w:p w14:paraId="5B6065D5">
      <w:pPr>
        <w:bidi w:val="0"/>
      </w:pPr>
      <w:r>
        <w:t>（1）卸甲峪水库库区水面由于富营养化，造成藻类大面积快速繁殖引发水华灾害事故的应急演练；</w:t>
      </w:r>
    </w:p>
    <w:p w14:paraId="593290BD">
      <w:pPr>
        <w:bidi w:val="0"/>
      </w:pPr>
      <w:r>
        <w:t>（2）由于暴雨冲刷引发山体泥石流、滑坡、崩塌等地质灾害</w:t>
      </w:r>
      <w:r>
        <w:rPr>
          <w:rFonts w:hint="eastAsia" w:eastAsia="宋体"/>
          <w:lang w:eastAsia="zh-CN"/>
        </w:rPr>
        <w:t>或</w:t>
      </w:r>
      <w:r>
        <w:t>山体突发火灾，消防救援导致卸甲峪水库中悬浮物大量超标的事故。</w:t>
      </w:r>
    </w:p>
    <w:p w14:paraId="33738D62">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291" w:name="_Toc519688383"/>
      <w:bookmarkStart w:id="292" w:name="_Toc10536"/>
      <w:bookmarkStart w:id="293" w:name="_Toc30186"/>
      <w:bookmarkStart w:id="294" w:name="_Toc25178_WPSOffice_Level2"/>
      <w:bookmarkStart w:id="295" w:name="_Toc25123"/>
      <w:bookmarkStart w:id="296" w:name="_Toc22904"/>
      <w:bookmarkStart w:id="297" w:name="_Toc14891"/>
      <w:bookmarkStart w:id="298" w:name="_Toc522607547"/>
      <w:bookmarkStart w:id="299" w:name="_Toc29172"/>
      <w:bookmarkStart w:id="300" w:name="_Toc4587"/>
      <w:r>
        <w:rPr>
          <w:rFonts w:ascii="Times New Roman" w:hAnsi="Times New Roman" w:eastAsia="宋体" w:cs="Times New Roman"/>
          <w:b/>
          <w:bCs/>
          <w:kern w:val="2"/>
          <w:sz w:val="32"/>
          <w:szCs w:val="32"/>
          <w:lang w:val="en-US" w:eastAsia="zh-CN" w:bidi="ar-SA"/>
        </w:rPr>
        <w:t>6.</w:t>
      </w:r>
      <w:r>
        <w:rPr>
          <w:rFonts w:hint="eastAsia" w:ascii="Times New Roman" w:hAnsi="Times New Roman" w:eastAsia="宋体" w:cs="Times New Roman"/>
          <w:b/>
          <w:bCs/>
          <w:kern w:val="2"/>
          <w:sz w:val="32"/>
          <w:szCs w:val="32"/>
          <w:lang w:val="en-US" w:eastAsia="zh-CN" w:bidi="ar-SA"/>
        </w:rPr>
        <w:t xml:space="preserve">4 </w:t>
      </w:r>
      <w:r>
        <w:rPr>
          <w:rFonts w:ascii="Times New Roman" w:hAnsi="Times New Roman" w:eastAsia="宋体" w:cs="Times New Roman"/>
          <w:b/>
          <w:bCs/>
          <w:kern w:val="2"/>
          <w:sz w:val="32"/>
          <w:szCs w:val="32"/>
          <w:lang w:val="en-US" w:eastAsia="zh-CN" w:bidi="ar-SA"/>
        </w:rPr>
        <w:t>应急演练参加人员</w:t>
      </w:r>
      <w:bookmarkEnd w:id="291"/>
      <w:bookmarkEnd w:id="292"/>
      <w:bookmarkEnd w:id="293"/>
      <w:bookmarkEnd w:id="294"/>
      <w:bookmarkEnd w:id="295"/>
      <w:bookmarkEnd w:id="296"/>
      <w:bookmarkEnd w:id="297"/>
      <w:bookmarkEnd w:id="298"/>
      <w:bookmarkEnd w:id="299"/>
      <w:bookmarkEnd w:id="300"/>
    </w:p>
    <w:p w14:paraId="5653B8A3">
      <w:pPr>
        <w:bidi w:val="0"/>
      </w:pPr>
      <w:r>
        <w:t>（1）参演人员：在应急组织中承担具体任务的人员。</w:t>
      </w:r>
    </w:p>
    <w:p w14:paraId="6D165809">
      <w:pPr>
        <w:bidi w:val="0"/>
      </w:pPr>
      <w:r>
        <w:t>（2）控制人员：控制时间进度的人员。</w:t>
      </w:r>
    </w:p>
    <w:p w14:paraId="568FB1B6">
      <w:pPr>
        <w:bidi w:val="0"/>
      </w:pPr>
      <w:r>
        <w:t>（3）模拟人员：演练过程中扮演或代替应急组织和部门的人员。</w:t>
      </w:r>
    </w:p>
    <w:p w14:paraId="6073C4D5">
      <w:pPr>
        <w:bidi w:val="0"/>
      </w:pPr>
      <w:r>
        <w:t>（4）评价人员：对演练进展情况予以记录的人员。</w:t>
      </w:r>
    </w:p>
    <w:p w14:paraId="342BA313">
      <w:pPr>
        <w:bidi w:val="0"/>
      </w:pPr>
      <w:r>
        <w:t>（5）观摩人员：来自有关部门、外部机构及观众。</w:t>
      </w:r>
    </w:p>
    <w:p w14:paraId="1AA79E2E">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301" w:name="_Toc522607548"/>
      <w:bookmarkStart w:id="302" w:name="_Toc29924"/>
      <w:bookmarkStart w:id="303" w:name="_Toc13553_WPSOffice_Level2"/>
      <w:bookmarkStart w:id="304" w:name="_Toc18603"/>
      <w:bookmarkStart w:id="305" w:name="_Toc3099"/>
      <w:bookmarkStart w:id="306" w:name="_Toc2073"/>
      <w:bookmarkStart w:id="307" w:name="_Toc519688384"/>
      <w:bookmarkStart w:id="308" w:name="_Toc29066"/>
      <w:bookmarkStart w:id="309" w:name="_Toc32235"/>
      <w:bookmarkStart w:id="310" w:name="_Toc30252"/>
      <w:r>
        <w:rPr>
          <w:rFonts w:ascii="Times New Roman" w:hAnsi="Times New Roman" w:eastAsia="宋体" w:cs="Times New Roman"/>
          <w:b/>
          <w:bCs/>
          <w:kern w:val="2"/>
          <w:sz w:val="32"/>
          <w:szCs w:val="32"/>
          <w:lang w:val="en-US" w:eastAsia="zh-CN" w:bidi="ar-SA"/>
        </w:rPr>
        <w:t>6.</w:t>
      </w:r>
      <w:r>
        <w:rPr>
          <w:rFonts w:hint="eastAsia" w:ascii="Times New Roman" w:hAnsi="Times New Roman" w:eastAsia="宋体" w:cs="Times New Roman"/>
          <w:b/>
          <w:bCs/>
          <w:kern w:val="2"/>
          <w:sz w:val="32"/>
          <w:szCs w:val="32"/>
          <w:lang w:val="en-US" w:eastAsia="zh-CN" w:bidi="ar-SA"/>
        </w:rPr>
        <w:t xml:space="preserve">5 </w:t>
      </w:r>
      <w:r>
        <w:rPr>
          <w:rFonts w:ascii="Times New Roman" w:hAnsi="Times New Roman" w:eastAsia="宋体" w:cs="Times New Roman"/>
          <w:b/>
          <w:bCs/>
          <w:kern w:val="2"/>
          <w:sz w:val="32"/>
          <w:szCs w:val="32"/>
          <w:lang w:val="en-US" w:eastAsia="zh-CN" w:bidi="ar-SA"/>
        </w:rPr>
        <w:t>演练实施的基本过程</w:t>
      </w:r>
      <w:bookmarkEnd w:id="301"/>
      <w:bookmarkEnd w:id="302"/>
      <w:bookmarkEnd w:id="303"/>
      <w:bookmarkEnd w:id="304"/>
      <w:bookmarkEnd w:id="305"/>
      <w:bookmarkEnd w:id="306"/>
      <w:bookmarkEnd w:id="307"/>
      <w:bookmarkEnd w:id="308"/>
      <w:bookmarkEnd w:id="309"/>
      <w:bookmarkEnd w:id="310"/>
    </w:p>
    <w:p w14:paraId="49BC781C">
      <w:pPr>
        <w:bidi w:val="0"/>
      </w:pPr>
      <w:r>
        <w:t>（1）准备阶段</w:t>
      </w:r>
    </w:p>
    <w:p w14:paraId="56793DA9">
      <w:pPr>
        <w:bidi w:val="0"/>
      </w:pPr>
      <w:r>
        <w:rPr>
          <w:rFonts w:hint="eastAsia" w:eastAsia="宋体"/>
          <w:lang w:eastAsia="zh-CN"/>
        </w:rPr>
        <w:t>区应急管理局</w:t>
      </w:r>
      <w:r>
        <w:t>确定演练日期，成立一个临时演练策划组。编制演练方案，开展第一次演练协调会，讨论演练方案，确定演练的目标、原则、范围、参演部门，确定演练的性质和方法，选定演练</w:t>
      </w:r>
      <w:r>
        <w:rPr>
          <w:rFonts w:hint="eastAsia"/>
          <w:lang w:eastAsia="zh-CN"/>
        </w:rPr>
        <w:t>时间</w:t>
      </w:r>
      <w:r>
        <w:t>与地点，规定演练的时间尺度和公众参与程度；确定实施计划、设计事故情景与处置方案。其中特别要注意的是，演练情景尽可能真实，并考虑应急设备故障问题，以检测备用系统，同时应确定评价人员数量。</w:t>
      </w:r>
    </w:p>
    <w:p w14:paraId="10E6AD06">
      <w:pPr>
        <w:bidi w:val="0"/>
      </w:pPr>
      <w:r>
        <w:rPr>
          <w:rFonts w:hint="eastAsia" w:eastAsia="宋体"/>
          <w:lang w:eastAsia="zh-CN"/>
        </w:rPr>
        <w:t>区应急管理局</w:t>
      </w:r>
      <w:r>
        <w:t>开展第二次演练协调会，核对准备进度，反馈问题，筹备桌面演练进行桌面演练，应急总指挥和副总指挥点评桌面演练效果，提出重点注意的问题举行现场演练，全程摄像、拍照和记录整个演习过程。总结演练应具备的专业技能，指定评价人员，分配各自所负责评价的应急组织和演练目标。</w:t>
      </w:r>
    </w:p>
    <w:p w14:paraId="44D5E462">
      <w:pPr>
        <w:bidi w:val="0"/>
      </w:pPr>
      <w:r>
        <w:t>（2）实施阶段</w:t>
      </w:r>
    </w:p>
    <w:p w14:paraId="1F1050F4">
      <w:pPr>
        <w:bidi w:val="0"/>
      </w:pPr>
      <w:r>
        <w:t>演练实施阶段是指宣布初始时间到演练结束的整个阶段。演练过程中参演应急人员应尽可能按照实际紧急事件发生时响应要求进行演示，由参演人员根据自己对最佳解决方法的理解，对事故做出响应行动。策划者的作用是宣布演练开始和结束，以及解决演练过程中的矛盾。</w:t>
      </w:r>
    </w:p>
    <w:p w14:paraId="5E92AA83">
      <w:pPr>
        <w:bidi w:val="0"/>
      </w:pPr>
      <w:r>
        <w:t>（3）总结阶段</w:t>
      </w:r>
    </w:p>
    <w:p w14:paraId="55643B5B">
      <w:pPr>
        <w:bidi w:val="0"/>
      </w:pPr>
      <w:r>
        <w:rPr>
          <w:rFonts w:hint="eastAsia" w:eastAsia="宋体"/>
          <w:lang w:eastAsia="zh-CN"/>
        </w:rPr>
        <w:t>区应急管理局</w:t>
      </w:r>
      <w:r>
        <w:t>应对演习情况予以记录，并妥善保存备查。演练结束后应对演练的效果</w:t>
      </w:r>
      <w:r>
        <w:rPr>
          <w:rFonts w:hint="eastAsia" w:eastAsia="宋体"/>
          <w:lang w:eastAsia="zh-CN"/>
        </w:rPr>
        <w:t>作出评价</w:t>
      </w:r>
      <w:r>
        <w:t>，提交演练报告，并针对演练过程中发现的问题，划分为</w:t>
      </w:r>
      <w:r>
        <w:rPr>
          <w:rFonts w:hint="eastAsia" w:eastAsia="宋体"/>
          <w:lang w:eastAsia="zh-CN"/>
        </w:rPr>
        <w:t>不足</w:t>
      </w:r>
      <w:r>
        <w:t>项、整改项和改进项。分别进行纠正、整改、改进。</w:t>
      </w:r>
    </w:p>
    <w:p w14:paraId="3D1E4BFE">
      <w:pPr>
        <w:keepNext/>
        <w:keepLines/>
        <w:widowControl w:val="0"/>
        <w:bidi w:val="0"/>
        <w:spacing w:before="100" w:line="416" w:lineRule="auto"/>
        <w:ind w:firstLine="0" w:firstLineChars="0"/>
        <w:jc w:val="both"/>
        <w:outlineLvl w:val="2"/>
        <w:rPr>
          <w:rFonts w:hint="eastAsia" w:ascii="Times New Roman" w:hAnsi="Times New Roman" w:eastAsia="宋体" w:cs="Times New Roman"/>
          <w:b/>
          <w:bCs/>
          <w:kern w:val="2"/>
          <w:sz w:val="32"/>
          <w:szCs w:val="32"/>
          <w:lang w:val="en-US" w:eastAsia="zh-CN" w:bidi="ar-SA"/>
        </w:rPr>
      </w:pPr>
      <w:bookmarkStart w:id="311" w:name="_Toc7814"/>
      <w:bookmarkStart w:id="312" w:name="_Toc27966"/>
      <w:bookmarkStart w:id="313" w:name="_Toc519688385"/>
      <w:bookmarkStart w:id="314" w:name="_Toc20218_WPSOffice_Level2"/>
      <w:bookmarkStart w:id="315" w:name="_Toc20206"/>
      <w:bookmarkStart w:id="316" w:name="_Toc27054"/>
      <w:bookmarkStart w:id="317" w:name="_Toc20652"/>
      <w:bookmarkStart w:id="318" w:name="_Toc522607549"/>
      <w:bookmarkStart w:id="319" w:name="_Toc5822"/>
      <w:bookmarkStart w:id="320" w:name="_Toc20322"/>
      <w:r>
        <w:rPr>
          <w:rFonts w:ascii="Times New Roman" w:hAnsi="Times New Roman" w:eastAsia="宋体" w:cs="Times New Roman"/>
          <w:b/>
          <w:bCs/>
          <w:kern w:val="2"/>
          <w:sz w:val="32"/>
          <w:szCs w:val="32"/>
          <w:lang w:val="en-US" w:eastAsia="zh-CN" w:bidi="ar-SA"/>
        </w:rPr>
        <w:t>6.</w:t>
      </w:r>
      <w:r>
        <w:rPr>
          <w:rFonts w:hint="eastAsia" w:ascii="Times New Roman" w:hAnsi="Times New Roman" w:eastAsia="宋体" w:cs="Times New Roman"/>
          <w:b/>
          <w:bCs/>
          <w:kern w:val="2"/>
          <w:sz w:val="32"/>
          <w:szCs w:val="32"/>
          <w:lang w:val="en-US" w:eastAsia="zh-CN" w:bidi="ar-SA"/>
        </w:rPr>
        <w:t xml:space="preserve">6 </w:t>
      </w:r>
      <w:r>
        <w:rPr>
          <w:rFonts w:ascii="Times New Roman" w:hAnsi="Times New Roman" w:eastAsia="宋体" w:cs="Times New Roman"/>
          <w:b/>
          <w:bCs/>
          <w:kern w:val="2"/>
          <w:sz w:val="32"/>
          <w:szCs w:val="32"/>
          <w:lang w:val="en-US" w:eastAsia="zh-CN" w:bidi="ar-SA"/>
        </w:rPr>
        <w:t>演练结果</w:t>
      </w:r>
      <w:bookmarkEnd w:id="311"/>
      <w:bookmarkEnd w:id="312"/>
      <w:bookmarkEnd w:id="313"/>
      <w:bookmarkEnd w:id="314"/>
      <w:bookmarkEnd w:id="315"/>
      <w:bookmarkEnd w:id="316"/>
      <w:bookmarkEnd w:id="317"/>
      <w:bookmarkEnd w:id="318"/>
      <w:r>
        <w:rPr>
          <w:rFonts w:hint="eastAsia" w:ascii="Times New Roman" w:hAnsi="Times New Roman" w:eastAsia="宋体" w:cs="Times New Roman"/>
          <w:b/>
          <w:bCs/>
          <w:kern w:val="2"/>
          <w:sz w:val="32"/>
          <w:szCs w:val="32"/>
          <w:lang w:val="en-US" w:eastAsia="zh-CN" w:bidi="ar-SA"/>
        </w:rPr>
        <w:t>激励机制</w:t>
      </w:r>
      <w:bookmarkEnd w:id="319"/>
      <w:bookmarkEnd w:id="320"/>
    </w:p>
    <w:p w14:paraId="493111DE">
      <w:pPr>
        <w:bidi w:val="0"/>
      </w:pPr>
      <w:r>
        <w:t>（1）通过演练观察识别出应急准备缺陷。</w:t>
      </w:r>
    </w:p>
    <w:p w14:paraId="453EFF16">
      <w:pPr>
        <w:bidi w:val="0"/>
      </w:pPr>
      <w:r>
        <w:t>（2）查出需要整改项。</w:t>
      </w:r>
    </w:p>
    <w:p w14:paraId="60E5E467">
      <w:pPr>
        <w:bidi w:val="0"/>
      </w:pPr>
      <w:r>
        <w:t>（3）改进应急项目不足部分。</w:t>
      </w:r>
    </w:p>
    <w:p w14:paraId="661BF3A6">
      <w:pPr>
        <w:bidi w:val="0"/>
        <w:rPr>
          <w:rFonts w:hint="default"/>
          <w:lang w:val="en-US"/>
        </w:rPr>
      </w:pPr>
      <w:r>
        <w:rPr>
          <w:rFonts w:hint="eastAsia" w:eastAsia="宋体"/>
          <w:lang w:eastAsia="zh-CN"/>
        </w:rPr>
        <w:t>（</w:t>
      </w:r>
      <w:r>
        <w:rPr>
          <w:rFonts w:hint="eastAsia" w:ascii="Times New Roman" w:eastAsia="宋体"/>
          <w:lang w:val="en-US" w:eastAsia="zh-CN"/>
        </w:rPr>
        <w:t>4</w:t>
      </w:r>
      <w:r>
        <w:rPr>
          <w:rFonts w:hint="eastAsia" w:eastAsia="宋体"/>
          <w:lang w:eastAsia="zh-CN"/>
        </w:rPr>
        <w:t>）</w:t>
      </w:r>
      <w:r>
        <w:rPr>
          <w:rFonts w:hint="eastAsia" w:ascii="Times New Roman" w:eastAsia="宋体"/>
          <w:lang w:val="en-US" w:eastAsia="zh-CN"/>
        </w:rPr>
        <w:t>对演及时练完成并积极配合的单位给予表彰鼓励，鼓励各单位向获得表彰的单位学习。</w:t>
      </w:r>
    </w:p>
    <w:p w14:paraId="1BA257B9">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321" w:name="_Toc10918_WPSOffice_Level2"/>
      <w:bookmarkStart w:id="322" w:name="_Toc31628"/>
      <w:bookmarkStart w:id="323" w:name="_Toc24961"/>
      <w:bookmarkStart w:id="324" w:name="_Toc522607550"/>
      <w:bookmarkStart w:id="325" w:name="_Toc22735"/>
      <w:bookmarkStart w:id="326" w:name="_Toc13692"/>
      <w:bookmarkStart w:id="327" w:name="_Toc15036"/>
      <w:bookmarkStart w:id="328" w:name="_Toc23530"/>
      <w:bookmarkStart w:id="329" w:name="_Toc17020"/>
      <w:bookmarkStart w:id="330" w:name="_Toc519688386"/>
      <w:r>
        <w:rPr>
          <w:rFonts w:ascii="Times New Roman" w:hAnsi="Times New Roman" w:eastAsia="宋体" w:cs="Times New Roman"/>
          <w:b/>
          <w:bCs/>
          <w:kern w:val="2"/>
          <w:sz w:val="32"/>
          <w:szCs w:val="32"/>
          <w:lang w:val="en-US" w:eastAsia="zh-CN" w:bidi="ar-SA"/>
        </w:rPr>
        <w:t>6.</w:t>
      </w:r>
      <w:r>
        <w:rPr>
          <w:rFonts w:hint="eastAsia" w:ascii="Times New Roman" w:hAnsi="Times New Roman" w:eastAsia="宋体" w:cs="Times New Roman"/>
          <w:b/>
          <w:bCs/>
          <w:kern w:val="2"/>
          <w:sz w:val="32"/>
          <w:szCs w:val="32"/>
          <w:lang w:val="en-US" w:eastAsia="zh-CN" w:bidi="ar-SA"/>
        </w:rPr>
        <w:t xml:space="preserve">7 </w:t>
      </w:r>
      <w:r>
        <w:rPr>
          <w:rFonts w:ascii="Times New Roman" w:hAnsi="Times New Roman" w:eastAsia="宋体" w:cs="Times New Roman"/>
          <w:b/>
          <w:bCs/>
          <w:kern w:val="2"/>
          <w:sz w:val="32"/>
          <w:szCs w:val="32"/>
          <w:lang w:val="en-US" w:eastAsia="zh-CN" w:bidi="ar-SA"/>
        </w:rPr>
        <w:t>应急演练注意事项</w:t>
      </w:r>
      <w:bookmarkEnd w:id="321"/>
      <w:bookmarkEnd w:id="322"/>
      <w:bookmarkEnd w:id="323"/>
      <w:bookmarkEnd w:id="324"/>
      <w:bookmarkEnd w:id="325"/>
      <w:bookmarkEnd w:id="326"/>
      <w:bookmarkEnd w:id="327"/>
      <w:bookmarkEnd w:id="328"/>
      <w:bookmarkEnd w:id="329"/>
      <w:bookmarkEnd w:id="330"/>
    </w:p>
    <w:p w14:paraId="3F0C73A5">
      <w:pPr>
        <w:bidi w:val="0"/>
      </w:pPr>
      <w:r>
        <w:t>通过演练观察识别出应急准备缺陷，查出需要整改项；根据演练结果对应急预案不足部分，进行修订。应急演练中必须特别注意以下几个主要问题：</w:t>
      </w:r>
    </w:p>
    <w:p w14:paraId="00342289">
      <w:pPr>
        <w:bidi w:val="0"/>
      </w:pPr>
      <w:r>
        <w:t>（1）演练过程应尽可能模仿可能事故的真实情况，但不能采用真正的危险状态进行演练，以避免不必要的伤亡；</w:t>
      </w:r>
    </w:p>
    <w:p w14:paraId="03AE98E2">
      <w:pPr>
        <w:bidi w:val="0"/>
      </w:pPr>
      <w:r>
        <w:t>（2）演练之前应对演练情况进行</w:t>
      </w:r>
      <w:r>
        <w:rPr>
          <w:rFonts w:hint="eastAsia" w:eastAsia="宋体"/>
          <w:lang w:eastAsia="zh-CN"/>
        </w:rPr>
        <w:t>周密</w:t>
      </w:r>
      <w:r>
        <w:t>方案策划。编写场景说明书是方案策划的重要内容；</w:t>
      </w:r>
    </w:p>
    <w:p w14:paraId="6D9E414E">
      <w:pPr>
        <w:bidi w:val="0"/>
      </w:pPr>
      <w:r>
        <w:t>（3）演练前应对有关人员进行必要培训，但不应将演练的场景介绍给应急响应人员；</w:t>
      </w:r>
    </w:p>
    <w:p w14:paraId="7F64A03D">
      <w:pPr>
        <w:bidi w:val="0"/>
      </w:pPr>
      <w:r>
        <w:t>（4）演练结束后应认真总结经验教训和整改。</w:t>
      </w:r>
    </w:p>
    <w:p w14:paraId="6E6F08CA">
      <w:pPr>
        <w:keepNext/>
        <w:keepLines/>
        <w:widowControl w:val="0"/>
        <w:bidi w:val="0"/>
        <w:spacing w:before="200" w:after="100" w:line="416" w:lineRule="auto"/>
        <w:ind w:firstLine="0" w:firstLineChars="0"/>
        <w:jc w:val="both"/>
        <w:outlineLvl w:val="1"/>
        <w:rPr>
          <w:rFonts w:ascii="Cambria" w:hAnsi="Cambria" w:eastAsia="宋体" w:cs="Times New Roman"/>
          <w:b/>
          <w:bCs/>
          <w:kern w:val="2"/>
          <w:sz w:val="32"/>
          <w:szCs w:val="32"/>
          <w:lang w:val="en-US" w:eastAsia="zh-CN" w:bidi="ar-SA"/>
        </w:rPr>
      </w:pPr>
      <w:bookmarkStart w:id="331" w:name="_Toc8271"/>
      <w:bookmarkStart w:id="332" w:name="_Toc15649"/>
      <w:bookmarkStart w:id="333" w:name="_Toc2818"/>
      <w:bookmarkStart w:id="334" w:name="_Toc8560"/>
      <w:bookmarkStart w:id="335" w:name="_Toc25557"/>
      <w:bookmarkStart w:id="336" w:name="_Toc28396"/>
      <w:bookmarkStart w:id="337" w:name="_Toc13236_WPSOffice_Level1"/>
      <w:bookmarkStart w:id="338" w:name="_Toc19499"/>
      <w:bookmarkStart w:id="339" w:name="_Toc18806"/>
      <w:r>
        <w:rPr>
          <w:rFonts w:hint="eastAsia" w:ascii="Cambria" w:hAnsi="Cambria" w:eastAsia="宋体" w:cs="Times New Roman"/>
          <w:b/>
          <w:bCs/>
          <w:kern w:val="2"/>
          <w:sz w:val="32"/>
          <w:szCs w:val="32"/>
          <w:lang w:val="en-US" w:eastAsia="zh-CN" w:bidi="ar-SA"/>
        </w:rPr>
        <w:t>7</w:t>
      </w:r>
      <w:r>
        <w:rPr>
          <w:rFonts w:ascii="Cambria" w:hAnsi="Cambria" w:eastAsia="宋体" w:cs="Times New Roman"/>
          <w:b/>
          <w:bCs/>
          <w:kern w:val="2"/>
          <w:sz w:val="32"/>
          <w:szCs w:val="32"/>
          <w:lang w:val="en-US" w:eastAsia="zh-CN" w:bidi="ar-SA"/>
        </w:rPr>
        <w:t>、附则</w:t>
      </w:r>
      <w:bookmarkEnd w:id="331"/>
      <w:bookmarkEnd w:id="332"/>
      <w:bookmarkEnd w:id="333"/>
      <w:bookmarkEnd w:id="334"/>
      <w:bookmarkEnd w:id="335"/>
      <w:bookmarkEnd w:id="336"/>
      <w:bookmarkEnd w:id="337"/>
      <w:bookmarkEnd w:id="338"/>
      <w:bookmarkEnd w:id="339"/>
    </w:p>
    <w:p w14:paraId="2172FD6A">
      <w:pPr>
        <w:keepNext/>
        <w:keepLines/>
        <w:widowControl w:val="0"/>
        <w:bidi w:val="0"/>
        <w:spacing w:before="100" w:line="416" w:lineRule="auto"/>
        <w:ind w:firstLine="0" w:firstLineChars="0"/>
        <w:jc w:val="both"/>
        <w:outlineLvl w:val="2"/>
        <w:rPr>
          <w:rFonts w:ascii="Times New Roman" w:hAnsi="Times New Roman" w:eastAsia="宋体" w:cs="Times New Roman"/>
          <w:b/>
          <w:bCs/>
          <w:kern w:val="2"/>
          <w:sz w:val="32"/>
          <w:szCs w:val="32"/>
          <w:lang w:val="en-US" w:eastAsia="zh-CN" w:bidi="ar-SA"/>
        </w:rPr>
      </w:pPr>
      <w:bookmarkStart w:id="340" w:name="_Toc26505"/>
      <w:bookmarkStart w:id="341" w:name="_Toc10021"/>
      <w:bookmarkStart w:id="342" w:name="_Toc15552_WPSOffice_Level2"/>
      <w:bookmarkStart w:id="343" w:name="_Toc25019"/>
      <w:bookmarkStart w:id="344" w:name="_Toc31891"/>
      <w:bookmarkStart w:id="345" w:name="_Toc15074"/>
      <w:bookmarkStart w:id="346" w:name="_Toc24617"/>
      <w:bookmarkStart w:id="347" w:name="_Toc19336"/>
      <w:r>
        <w:rPr>
          <w:rFonts w:ascii="Times New Roman" w:hAnsi="Times New Roman" w:eastAsia="宋体" w:cs="Times New Roman"/>
          <w:b/>
          <w:bCs/>
          <w:kern w:val="2"/>
          <w:sz w:val="32"/>
          <w:szCs w:val="32"/>
          <w:lang w:val="en-US" w:eastAsia="zh-CN" w:bidi="ar-SA"/>
        </w:rPr>
        <w:t>7.1</w:t>
      </w:r>
      <w:r>
        <w:rPr>
          <w:rFonts w:hint="eastAsia" w:ascii="Times New Roman" w:hAnsi="Times New Roman" w:eastAsia="宋体" w:cs="Times New Roman"/>
          <w:b/>
          <w:bCs/>
          <w:kern w:val="2"/>
          <w:sz w:val="32"/>
          <w:szCs w:val="32"/>
          <w:lang w:val="en-US" w:eastAsia="zh-CN" w:bidi="ar-SA"/>
        </w:rPr>
        <w:t xml:space="preserve"> </w:t>
      </w:r>
      <w:r>
        <w:rPr>
          <w:rFonts w:ascii="Times New Roman" w:hAnsi="Times New Roman" w:eastAsia="宋体" w:cs="Times New Roman"/>
          <w:b/>
          <w:bCs/>
          <w:kern w:val="2"/>
          <w:sz w:val="32"/>
          <w:szCs w:val="32"/>
          <w:lang w:val="en-US" w:eastAsia="zh-CN" w:bidi="ar-SA"/>
        </w:rPr>
        <w:t>预案解释权属</w:t>
      </w:r>
      <w:bookmarkEnd w:id="340"/>
      <w:bookmarkEnd w:id="341"/>
      <w:bookmarkEnd w:id="342"/>
      <w:bookmarkEnd w:id="343"/>
      <w:bookmarkEnd w:id="344"/>
      <w:bookmarkEnd w:id="345"/>
      <w:bookmarkEnd w:id="346"/>
      <w:bookmarkEnd w:id="347"/>
    </w:p>
    <w:p w14:paraId="541F7244">
      <w:pPr>
        <w:bidi w:val="0"/>
      </w:pPr>
      <w:r>
        <w:t>《武陵源区卸甲峪水库饮用水水源地应急预案》的解释权属为武陵源区人民政府。</w:t>
      </w:r>
    </w:p>
    <w:p w14:paraId="0D11890F">
      <w:pPr>
        <w:keepNext/>
        <w:keepLines/>
        <w:widowControl w:val="0"/>
        <w:bidi w:val="0"/>
        <w:spacing w:before="100" w:line="416" w:lineRule="auto"/>
        <w:ind w:firstLine="0" w:firstLineChars="0"/>
        <w:jc w:val="both"/>
        <w:outlineLvl w:val="2"/>
        <w:rPr>
          <w:rFonts w:hint="eastAsia" w:ascii="Times New Roman" w:hAnsi="Times New Roman" w:eastAsia="宋体" w:cs="Times New Roman"/>
          <w:b/>
          <w:bCs/>
          <w:kern w:val="2"/>
          <w:sz w:val="32"/>
          <w:szCs w:val="32"/>
          <w:lang w:val="en-US" w:eastAsia="zh-CN" w:bidi="ar-SA"/>
        </w:rPr>
      </w:pPr>
      <w:bookmarkStart w:id="348" w:name="_Toc28613_WPSOffice_Level2"/>
      <w:bookmarkStart w:id="349" w:name="_Toc4294"/>
      <w:bookmarkStart w:id="350" w:name="_Toc10482"/>
      <w:bookmarkStart w:id="351" w:name="_Toc31880"/>
      <w:bookmarkStart w:id="352" w:name="_Toc29833"/>
      <w:bookmarkStart w:id="353" w:name="_Toc5301"/>
      <w:bookmarkStart w:id="354" w:name="_Toc28643"/>
      <w:bookmarkStart w:id="355" w:name="_Toc12414"/>
      <w:r>
        <w:rPr>
          <w:rFonts w:ascii="Times New Roman" w:hAnsi="Times New Roman" w:eastAsia="宋体" w:cs="Times New Roman"/>
          <w:b/>
          <w:bCs/>
          <w:kern w:val="2"/>
          <w:sz w:val="32"/>
          <w:szCs w:val="32"/>
          <w:lang w:val="en-US" w:eastAsia="zh-CN" w:bidi="ar-SA"/>
        </w:rPr>
        <w:t>7.</w:t>
      </w:r>
      <w:r>
        <w:rPr>
          <w:rFonts w:hint="eastAsia" w:ascii="Times New Roman" w:hAnsi="Times New Roman" w:eastAsia="宋体" w:cs="Times New Roman"/>
          <w:b/>
          <w:bCs/>
          <w:kern w:val="2"/>
          <w:sz w:val="32"/>
          <w:szCs w:val="32"/>
          <w:lang w:val="en-US" w:eastAsia="zh-CN" w:bidi="ar-SA"/>
        </w:rPr>
        <w:t xml:space="preserve">2 </w:t>
      </w:r>
      <w:bookmarkEnd w:id="348"/>
      <w:bookmarkEnd w:id="349"/>
      <w:bookmarkEnd w:id="350"/>
      <w:bookmarkEnd w:id="351"/>
      <w:bookmarkEnd w:id="352"/>
      <w:bookmarkEnd w:id="353"/>
      <w:bookmarkStart w:id="356" w:name="_Toc10517"/>
      <w:bookmarkStart w:id="357" w:name="_Toc29646"/>
      <w:r>
        <w:rPr>
          <w:rFonts w:ascii="Times New Roman" w:hAnsi="Times New Roman" w:eastAsia="宋体" w:cs="Times New Roman"/>
          <w:b/>
          <w:bCs/>
          <w:kern w:val="2"/>
          <w:sz w:val="32"/>
          <w:szCs w:val="32"/>
          <w:lang w:val="en-US" w:eastAsia="zh-CN" w:bidi="ar-SA"/>
        </w:rPr>
        <w:t>预案</w:t>
      </w:r>
      <w:bookmarkEnd w:id="356"/>
      <w:bookmarkEnd w:id="357"/>
      <w:r>
        <w:rPr>
          <w:rFonts w:hint="eastAsia" w:ascii="Times New Roman" w:hAnsi="Times New Roman" w:eastAsia="宋体" w:cs="Times New Roman"/>
          <w:b/>
          <w:bCs/>
          <w:kern w:val="2"/>
          <w:sz w:val="32"/>
          <w:szCs w:val="32"/>
          <w:lang w:val="en-US" w:eastAsia="zh-CN" w:bidi="ar-SA"/>
        </w:rPr>
        <w:t>修订</w:t>
      </w:r>
      <w:bookmarkEnd w:id="354"/>
      <w:bookmarkEnd w:id="355"/>
    </w:p>
    <w:p w14:paraId="2ABA8E44">
      <w:pPr>
        <w:bidi w:val="0"/>
        <w:rPr>
          <w:rFonts w:hint="default" w:ascii="Times New Roman" w:hAnsi="Times New Roman" w:cs="Times New Roman"/>
        </w:rPr>
      </w:pPr>
      <w:r>
        <w:rPr>
          <w:rFonts w:hint="default" w:ascii="Times New Roman" w:hAnsi="Times New Roman" w:cs="Times New Roman"/>
        </w:rPr>
        <w:t>本预案经</w:t>
      </w:r>
      <w:r>
        <w:rPr>
          <w:rFonts w:hint="eastAsia" w:ascii="Times New Roman" w:hAnsi="Times New Roman" w:cs="Times New Roman"/>
          <w:lang w:val="en-US" w:eastAsia="zh-CN"/>
        </w:rPr>
        <w:t>武陵源区</w:t>
      </w:r>
      <w:r>
        <w:rPr>
          <w:rFonts w:hint="default" w:ascii="Times New Roman" w:hAnsi="Times New Roman" w:cs="Times New Roman"/>
        </w:rPr>
        <w:t>人民政府批准后实施，由</w:t>
      </w:r>
      <w:r>
        <w:rPr>
          <w:rFonts w:hint="eastAsia" w:ascii="Times New Roman" w:hAnsi="Times New Roman" w:cs="Times New Roman"/>
          <w:lang w:val="en-US" w:eastAsia="zh-CN"/>
        </w:rPr>
        <w:t>武陵源区</w:t>
      </w:r>
      <w:r>
        <w:rPr>
          <w:rFonts w:hint="default" w:ascii="Times New Roman" w:hAnsi="Times New Roman" w:cs="Times New Roman"/>
        </w:rPr>
        <w:t>人民政府办公室印发，</w:t>
      </w:r>
      <w:r>
        <w:rPr>
          <w:rFonts w:hint="default" w:ascii="Times New Roman" w:hAnsi="Times New Roman" w:cs="Times New Roman"/>
          <w:lang w:eastAsia="zh-CN"/>
        </w:rPr>
        <w:t>张家界市生态环境局</w:t>
      </w:r>
      <w:r>
        <w:rPr>
          <w:rFonts w:hint="eastAsia" w:ascii="Times New Roman" w:hAnsi="Times New Roman" w:cs="Times New Roman"/>
          <w:lang w:val="en-US" w:eastAsia="zh-CN"/>
        </w:rPr>
        <w:t>武陵源区分局</w:t>
      </w:r>
      <w:r>
        <w:rPr>
          <w:rFonts w:hint="default" w:ascii="Times New Roman" w:hAnsi="Times New Roman" w:cs="Times New Roman"/>
        </w:rPr>
        <w:t>负责解释。</w:t>
      </w:r>
    </w:p>
    <w:p w14:paraId="6C5BCE1D">
      <w:pPr>
        <w:bidi w:val="0"/>
        <w:rPr>
          <w:rFonts w:hint="default" w:ascii="Times New Roman" w:hAnsi="Times New Roman" w:cs="Times New Roman"/>
        </w:rPr>
      </w:pPr>
      <w:r>
        <w:rPr>
          <w:rFonts w:hint="default" w:ascii="Times New Roman" w:hAnsi="Times New Roman" w:cs="Times New Roman"/>
        </w:rPr>
        <w:t>本预案根据情况变化，由</w:t>
      </w:r>
      <w:r>
        <w:rPr>
          <w:rFonts w:hint="default" w:ascii="Times New Roman" w:hAnsi="Times New Roman" w:cs="Times New Roman"/>
          <w:lang w:eastAsia="zh-CN"/>
        </w:rPr>
        <w:t>张家界市生态环境局</w:t>
      </w:r>
      <w:r>
        <w:rPr>
          <w:rFonts w:hint="eastAsia" w:ascii="Times New Roman" w:hAnsi="Times New Roman" w:cs="Times New Roman"/>
          <w:lang w:val="en-US" w:eastAsia="zh-CN"/>
        </w:rPr>
        <w:t>武陵源区分局</w:t>
      </w:r>
      <w:r>
        <w:rPr>
          <w:rFonts w:hint="default" w:ascii="Times New Roman" w:hAnsi="Times New Roman" w:cs="Times New Roman"/>
        </w:rPr>
        <w:t>对预案进行修订和完善。</w:t>
      </w:r>
    </w:p>
    <w:p w14:paraId="31661F77">
      <w:pPr>
        <w:keepNext/>
        <w:keepLines/>
        <w:widowControl w:val="0"/>
        <w:bidi w:val="0"/>
        <w:spacing w:before="100" w:line="416" w:lineRule="auto"/>
        <w:ind w:firstLine="0" w:firstLineChars="0"/>
        <w:jc w:val="both"/>
        <w:outlineLvl w:val="2"/>
        <w:rPr>
          <w:rFonts w:hint="eastAsia" w:ascii="Times New Roman" w:hAnsi="Times New Roman" w:eastAsia="宋体" w:cs="Times New Roman"/>
          <w:b/>
          <w:bCs/>
          <w:kern w:val="2"/>
          <w:sz w:val="32"/>
          <w:szCs w:val="32"/>
          <w:lang w:val="en-US" w:eastAsia="zh-CN" w:bidi="ar-SA"/>
        </w:rPr>
      </w:pPr>
      <w:bookmarkStart w:id="358" w:name="_Toc31006"/>
      <w:bookmarkStart w:id="359" w:name="_Toc12339"/>
      <w:r>
        <w:rPr>
          <w:rFonts w:hint="eastAsia" w:ascii="Times New Roman" w:hAnsi="Times New Roman" w:eastAsia="宋体" w:cs="Times New Roman"/>
          <w:b/>
          <w:bCs/>
          <w:kern w:val="2"/>
          <w:sz w:val="32"/>
          <w:szCs w:val="32"/>
          <w:lang w:val="en-US" w:eastAsia="zh-CN" w:bidi="ar-SA"/>
        </w:rPr>
        <w:t>7.3名词术语解释</w:t>
      </w:r>
      <w:bookmarkEnd w:id="358"/>
      <w:bookmarkEnd w:id="359"/>
    </w:p>
    <w:p w14:paraId="5AB386E3">
      <w:pPr>
        <w:bidi w:val="0"/>
        <w:rPr>
          <w:rFonts w:hint="default" w:ascii="Times New Roman" w:hAnsi="Times New Roman" w:cs="Times New Roman"/>
        </w:rPr>
      </w:pPr>
      <w:r>
        <w:rPr>
          <w:rFonts w:hint="default" w:ascii="Times New Roman" w:hAnsi="Times New Roman" w:cs="Times New Roman"/>
        </w:rPr>
        <w:t>（1）集中式地表水饮用水水源地：指进入输水管网、送到用户且具有一定取水规模（供水人口一般大于1000人）的在用、备用和规划的地表水饮用水水源地。依据取水口所在水体类型不同，可分为河流型水源地和湖泊（水库）型水源地。</w:t>
      </w:r>
    </w:p>
    <w:p w14:paraId="4DE53540">
      <w:pPr>
        <w:bidi w:val="0"/>
        <w:rPr>
          <w:rFonts w:hint="default" w:ascii="Times New Roman" w:hAnsi="Times New Roman" w:cs="Times New Roman"/>
        </w:rPr>
      </w:pPr>
      <w:r>
        <w:rPr>
          <w:rFonts w:hint="default" w:ascii="Times New Roman" w:hAnsi="Times New Roman" w:cs="Times New Roman"/>
        </w:rPr>
        <w:t>（2）饮用水水源保护区：指国家为防治饮用水水源地污染、保障水源地环境质量而划定，并要求加以特殊保护的一定面积的水域和陆域。饮用水水源保护区（以下简称水源保护区）分为一级保护区和二级保护区，必要时可在水源保护区外划定准保护区。</w:t>
      </w:r>
    </w:p>
    <w:p w14:paraId="10105984">
      <w:pPr>
        <w:bidi w:val="0"/>
        <w:rPr>
          <w:rFonts w:hint="default" w:ascii="Times New Roman" w:hAnsi="Times New Roman" w:cs="Times New Roman"/>
        </w:rPr>
      </w:pPr>
      <w:r>
        <w:rPr>
          <w:rFonts w:hint="default" w:ascii="Times New Roman" w:hAnsi="Times New Roman" w:cs="Times New Roman"/>
        </w:rPr>
        <w:t>（3）地表水饮用水水源地风险物质（以下简称水源地风险物质）：指《地表水环境质量标准》中表1、表2、表3所包含的项目与物质，以及该标准之外其他可能影响人体健康的项目与物质。</w:t>
      </w:r>
    </w:p>
    <w:p w14:paraId="5339432E">
      <w:pPr>
        <w:bidi w:val="0"/>
        <w:rPr>
          <w:rFonts w:hint="default" w:ascii="Times New Roman" w:hAnsi="Times New Roman" w:cs="Times New Roman"/>
        </w:rPr>
      </w:pPr>
      <w:r>
        <w:rPr>
          <w:rFonts w:hint="default" w:ascii="Times New Roman" w:hAnsi="Times New Roman" w:cs="Times New Roman"/>
        </w:rPr>
        <w:t>（4）饮用水水源地突发环境事件（以下简称水源地突发环境事件）：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14:paraId="66C372F1">
      <w:pPr>
        <w:bidi w:val="0"/>
        <w:rPr>
          <w:rFonts w:hint="default" w:ascii="Times New Roman" w:hAnsi="Times New Roman" w:cs="Times New Roman"/>
        </w:rPr>
      </w:pPr>
      <w:r>
        <w:rPr>
          <w:rFonts w:hint="default" w:ascii="Times New Roman" w:hAnsi="Times New Roman" w:cs="Times New Roman"/>
        </w:rPr>
        <w:t>（5）水质超标：指水源地水质超过《地表水环境质量标准》规定的III类水质标准或标准限值的要求。</w:t>
      </w:r>
    </w:p>
    <w:p w14:paraId="4E4A0744">
      <w:pPr>
        <w:bidi w:val="0"/>
        <w:rPr>
          <w:rFonts w:hint="default" w:ascii="Times New Roman" w:hAnsi="Times New Roman" w:cs="Times New Roman"/>
        </w:rPr>
      </w:pPr>
      <w:r>
        <w:rPr>
          <w:rFonts w:hint="default" w:ascii="Times New Roman" w:hAnsi="Times New Roman" w:cs="Times New Roman"/>
        </w:rPr>
        <w:t>（6）环境应急：针对可能或已发生的突发环境事件需要立即采取某些超出正常工作程序的行动，以避免事件发生或减轻事件后果的状态，也称为紧急状态；同时也泛指立即采取超出正常工作程序的行动。</w:t>
      </w:r>
    </w:p>
    <w:p w14:paraId="7E378057">
      <w:pPr>
        <w:bidi w:val="0"/>
        <w:rPr>
          <w:rFonts w:hint="default" w:ascii="Times New Roman" w:hAnsi="Times New Roman" w:cs="Times New Roman"/>
        </w:rPr>
      </w:pPr>
      <w:r>
        <w:rPr>
          <w:rFonts w:hint="default" w:ascii="Times New Roman" w:hAnsi="Times New Roman" w:cs="Times New Roman"/>
        </w:rPr>
        <w:t>（7）先期处置：是指突发环境事件发生后在事发地第一时间内所采取的紧急措施。</w:t>
      </w:r>
    </w:p>
    <w:p w14:paraId="0CFEAA7C">
      <w:pPr>
        <w:bidi w:val="0"/>
        <w:rPr>
          <w:rFonts w:hint="default" w:ascii="Times New Roman" w:hAnsi="Times New Roman" w:cs="Times New Roman"/>
        </w:rPr>
      </w:pPr>
      <w:r>
        <w:rPr>
          <w:rFonts w:hint="default" w:ascii="Times New Roman" w:hAnsi="Times New Roman" w:cs="Times New Roman"/>
        </w:rPr>
        <w:t>（8）后期处置：是指突发环境事件的危害和影响得到基本控制后，为使生产、工作、生活、社会秩序和生态环境恢复正常状态在事件后期所采取的一系列行动。</w:t>
      </w:r>
    </w:p>
    <w:p w14:paraId="00458F98">
      <w:pPr>
        <w:bidi w:val="0"/>
        <w:rPr>
          <w:rFonts w:hint="default" w:ascii="Times New Roman" w:hAnsi="Times New Roman" w:cs="Times New Roman"/>
        </w:rPr>
      </w:pPr>
      <w:r>
        <w:rPr>
          <w:rFonts w:hint="default" w:ascii="Times New Roman" w:hAnsi="Times New Roman" w:cs="Times New Roman"/>
        </w:rPr>
        <w:t>（9）经济损失：包括环境污染行为造成的财产损毁、减少</w:t>
      </w:r>
      <w:r>
        <w:rPr>
          <w:rFonts w:hint="default" w:ascii="Times New Roman" w:hAnsi="Times New Roman" w:cs="Times New Roman"/>
          <w:lang w:eastAsia="zh-CN"/>
        </w:rPr>
        <w:t>的账面价值</w:t>
      </w:r>
      <w:r>
        <w:rPr>
          <w:rFonts w:hint="default" w:ascii="Times New Roman" w:hAnsi="Times New Roman" w:cs="Times New Roman"/>
        </w:rPr>
        <w:t>，为防止污染扩大以及消除污染而采取的必要的、合理的措施而发生的费用。</w:t>
      </w:r>
    </w:p>
    <w:p w14:paraId="4DF96BB3">
      <w:pPr>
        <w:bidi w:val="0"/>
        <w:rPr>
          <w:rFonts w:hint="default" w:ascii="Times New Roman" w:hAnsi="Times New Roman" w:cs="Times New Roman"/>
        </w:rPr>
      </w:pPr>
      <w:r>
        <w:rPr>
          <w:rFonts w:hint="default" w:ascii="Times New Roman" w:hAnsi="Times New Roman" w:cs="Times New Roman"/>
        </w:rPr>
        <w:t>（10）环境应急监测：是指环境应急情况下，为发现和查明环境污染情况和污染范围而进行的环境监测。包括定点监测和动态监测。</w:t>
      </w:r>
    </w:p>
    <w:p w14:paraId="4FFB6AA4">
      <w:pPr>
        <w:bidi w:val="0"/>
        <w:rPr>
          <w:rFonts w:hint="default" w:ascii="Times New Roman" w:hAnsi="Times New Roman" w:cs="Times New Roman"/>
        </w:rPr>
      </w:pPr>
      <w:r>
        <w:rPr>
          <w:rFonts w:hint="default" w:ascii="Times New Roman" w:hAnsi="Times New Roman" w:cs="Times New Roman"/>
        </w:rPr>
        <w:t>（11）泄漏处理：泄漏处理是指污染源因事件发生泄漏</w:t>
      </w:r>
      <w:r>
        <w:rPr>
          <w:rFonts w:hint="default" w:ascii="Times New Roman" w:hAnsi="Times New Roman" w:cs="Times New Roman"/>
          <w:lang w:eastAsia="zh-CN"/>
        </w:rPr>
        <w:t>时</w:t>
      </w:r>
      <w:r>
        <w:rPr>
          <w:rFonts w:hint="default" w:ascii="Times New Roman" w:hAnsi="Times New Roman" w:cs="Times New Roman"/>
        </w:rPr>
        <w:t>所采取的应急处置措施。泄漏处理要及时、得当，避免重大事件的发生。泄漏处理一般分为泄漏源控制和泄漏物处置两部分。</w:t>
      </w:r>
    </w:p>
    <w:p w14:paraId="35223E0D">
      <w:r>
        <w:rPr>
          <w:rFonts w:hint="default" w:ascii="Times New Roman" w:hAnsi="Times New Roman" w:cs="Times New Roman"/>
        </w:rPr>
        <w:t>（12）应急演练：是指为检验应急预案的有效性、应急准备的完善性、应急响应能力的适应性和应急人员的协同性而进行的一种模拟应急响应的实践活动。根据所涉及的内容和范围的不同，可分为单项演练和综合演练。</w:t>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6D086">
    <w:pPr>
      <w:widowControl w:val="0"/>
      <w:tabs>
        <w:tab w:val="center" w:pos="4153"/>
        <w:tab w:val="right" w:pos="8306"/>
      </w:tabs>
      <w:snapToGrid w:val="0"/>
      <w:spacing w:line="240" w:lineRule="auto"/>
      <w:ind w:firstLine="360" w:firstLineChars="200"/>
      <w:jc w:val="center"/>
      <w:rPr>
        <w:rFonts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B0C30">
    <w:pPr>
      <w:widowControl w:val="0"/>
      <w:tabs>
        <w:tab w:val="center" w:pos="4153"/>
        <w:tab w:val="right" w:pos="8306"/>
      </w:tabs>
      <w:snapToGrid w:val="0"/>
      <w:spacing w:line="240" w:lineRule="auto"/>
      <w:ind w:firstLine="360" w:firstLineChars="200"/>
      <w:jc w:val="center"/>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D4801">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6DD4801">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D4E3">
    <w:pPr>
      <w:widowControl w:val="0"/>
      <w:tabs>
        <w:tab w:val="center" w:pos="4153"/>
        <w:tab w:val="right" w:pos="8306"/>
      </w:tabs>
      <w:snapToGrid w:val="0"/>
      <w:spacing w:line="240" w:lineRule="auto"/>
      <w:ind w:firstLine="360" w:firstLineChars="20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6CB9F">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DE6CB9F">
                    <w:pPr>
                      <w:pStyle w:val="1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02E8">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57D95">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C257D95">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82E56F"/>
    <w:multiLevelType w:val="multilevel"/>
    <w:tmpl w:val="5982E56F"/>
    <w:lvl w:ilvl="0" w:tentative="0">
      <w:start w:val="1"/>
      <w:numFmt w:val="decimal"/>
      <w:suff w:val="space"/>
      <w:lvlText w:val="%1"/>
      <w:lvlJc w:val="left"/>
      <w:pPr>
        <w:ind w:left="0" w:firstLine="0"/>
      </w:pPr>
      <w:rPr>
        <w:rFonts w:hint="default" w:ascii="Times New Roman" w:hAnsi="Times New Roman" w:eastAsia="宋体" w:cs="Times New Roman"/>
        <w:b/>
        <w:i w:val="0"/>
        <w:sz w:val="30"/>
      </w:rPr>
    </w:lvl>
    <w:lvl w:ilvl="1" w:tentative="0">
      <w:start w:val="1"/>
      <w:numFmt w:val="decimal"/>
      <w:suff w:val="space"/>
      <w:lvlText w:val="%1.%2"/>
      <w:lvlJc w:val="left"/>
      <w:pPr>
        <w:ind w:left="10491" w:firstLine="0"/>
      </w:pPr>
      <w:rPr>
        <w:rFonts w:hint="default" w:ascii="Times New Roman" w:hAnsi="Times New Roman" w:eastAsia="宋体" w:cs="Times New Roman"/>
        <w:b/>
        <w:i w:val="0"/>
        <w:sz w:val="28"/>
      </w:rPr>
    </w:lvl>
    <w:lvl w:ilvl="2" w:tentative="0">
      <w:start w:val="1"/>
      <w:numFmt w:val="decimal"/>
      <w:suff w:val="space"/>
      <w:lvlText w:val="%1.%2.%3"/>
      <w:lvlJc w:val="left"/>
      <w:pPr>
        <w:ind w:left="0" w:firstLine="0"/>
      </w:pPr>
      <w:rPr>
        <w:rFonts w:hint="default" w:ascii="Times New Roman" w:hAnsi="Times New Roman" w:eastAsia="宋体" w:cs="Times New Roman"/>
        <w:b/>
        <w:i w:val="0"/>
        <w:color w:val="auto"/>
        <w:sz w:val="24"/>
        <w:szCs w:val="24"/>
        <w:lang w:val="en-US"/>
      </w:rPr>
    </w:lvl>
    <w:lvl w:ilvl="3" w:tentative="0">
      <w:start w:val="1"/>
      <w:numFmt w:val="decimal"/>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suff w:val="space"/>
      <w:lvlText w:val="%1.%2.%3.%4.%5"/>
      <w:lvlJc w:val="left"/>
      <w:pPr>
        <w:ind w:left="0" w:firstLine="0"/>
      </w:pPr>
      <w:rPr>
        <w:rFonts w:hint="eastAsia" w:ascii="Arial Unicode MS" w:hAnsi="Arial Unicode MS" w:eastAsia="宋体"/>
        <w:b/>
        <w:i w:val="0"/>
        <w:sz w:val="24"/>
      </w:rPr>
    </w:lvl>
    <w:lvl w:ilvl="5" w:tentative="0">
      <w:start w:val="1"/>
      <w:numFmt w:val="decimal"/>
      <w:pStyle w:val="7"/>
      <w:lvlText w:val="%1.%2.%3.%4.%5.%6"/>
      <w:lvlJc w:val="left"/>
      <w:pPr>
        <w:ind w:left="0" w:firstLine="0"/>
      </w:pPr>
      <w:rPr>
        <w:rFonts w:hint="eastAsia"/>
        <w:sz w:val="24"/>
      </w:rPr>
    </w:lvl>
    <w:lvl w:ilvl="6" w:tentative="0">
      <w:start w:val="1"/>
      <w:numFmt w:val="decimal"/>
      <w:pStyle w:val="8"/>
      <w:lvlText w:val="%1.%2.%3.%4.%5.%6.%7"/>
      <w:lvlJc w:val="left"/>
      <w:pPr>
        <w:ind w:left="0" w:firstLine="0"/>
      </w:pPr>
      <w:rPr>
        <w:rFonts w:hint="eastAsia"/>
        <w:sz w:val="24"/>
      </w:rPr>
    </w:lvl>
    <w:lvl w:ilvl="7" w:tentative="0">
      <w:start w:val="1"/>
      <w:numFmt w:val="decimal"/>
      <w:pStyle w:val="9"/>
      <w:lvlText w:val="%1.%2.%3.%4.%5.%6.%7.%8"/>
      <w:lvlJc w:val="left"/>
      <w:pPr>
        <w:ind w:left="0" w:firstLine="0"/>
      </w:pPr>
      <w:rPr>
        <w:rFonts w:hint="eastAsia"/>
        <w:sz w:val="24"/>
      </w:rPr>
    </w:lvl>
    <w:lvl w:ilvl="8" w:tentative="0">
      <w:start w:val="1"/>
      <w:numFmt w:val="decimal"/>
      <w:lvlText w:val="%1.%2.%3.%4.%5.%6.%7.%8.%9"/>
      <w:lvlJc w:val="left"/>
      <w:pPr>
        <w:ind w:left="0" w:firstLine="0"/>
      </w:pPr>
      <w:rPr>
        <w:rFonts w:hint="eastAsia"/>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4Zjg0NzRlZWY2NWEyMzUwMzZjZWRmZTNlNmUzYTIifQ=="/>
  </w:docVars>
  <w:rsids>
    <w:rsidRoot w:val="3B5E526B"/>
    <w:rsid w:val="005F182F"/>
    <w:rsid w:val="016800C3"/>
    <w:rsid w:val="017E4628"/>
    <w:rsid w:val="01836467"/>
    <w:rsid w:val="01CF62AB"/>
    <w:rsid w:val="028A5EDF"/>
    <w:rsid w:val="065165EA"/>
    <w:rsid w:val="076D4570"/>
    <w:rsid w:val="078A3D60"/>
    <w:rsid w:val="07D76E30"/>
    <w:rsid w:val="098B22E5"/>
    <w:rsid w:val="0A7E6051"/>
    <w:rsid w:val="0B322488"/>
    <w:rsid w:val="0C472C0E"/>
    <w:rsid w:val="0CEC3464"/>
    <w:rsid w:val="0F964F8A"/>
    <w:rsid w:val="12747B4B"/>
    <w:rsid w:val="1283479B"/>
    <w:rsid w:val="12DE01F1"/>
    <w:rsid w:val="13B01E77"/>
    <w:rsid w:val="13F40686"/>
    <w:rsid w:val="159D0F39"/>
    <w:rsid w:val="17795016"/>
    <w:rsid w:val="1A1D29DB"/>
    <w:rsid w:val="1A9C66CE"/>
    <w:rsid w:val="1BF92382"/>
    <w:rsid w:val="1C43089F"/>
    <w:rsid w:val="1D543541"/>
    <w:rsid w:val="1D67510A"/>
    <w:rsid w:val="1E356BCA"/>
    <w:rsid w:val="228009E1"/>
    <w:rsid w:val="22B26703"/>
    <w:rsid w:val="267320AA"/>
    <w:rsid w:val="26E47085"/>
    <w:rsid w:val="27436C8B"/>
    <w:rsid w:val="27FC7440"/>
    <w:rsid w:val="2858552C"/>
    <w:rsid w:val="28CF17A8"/>
    <w:rsid w:val="299C69D1"/>
    <w:rsid w:val="2AC623AD"/>
    <w:rsid w:val="2ADE3C4B"/>
    <w:rsid w:val="2BA74026"/>
    <w:rsid w:val="2DC52DD8"/>
    <w:rsid w:val="2DC60696"/>
    <w:rsid w:val="30322A82"/>
    <w:rsid w:val="3082269A"/>
    <w:rsid w:val="312C2ADC"/>
    <w:rsid w:val="31A96724"/>
    <w:rsid w:val="33DE0F67"/>
    <w:rsid w:val="34E34B75"/>
    <w:rsid w:val="38845C63"/>
    <w:rsid w:val="38F77C17"/>
    <w:rsid w:val="395B12C8"/>
    <w:rsid w:val="3AD46C94"/>
    <w:rsid w:val="3B357551"/>
    <w:rsid w:val="3B5007BB"/>
    <w:rsid w:val="3B5E526B"/>
    <w:rsid w:val="3CCF79DA"/>
    <w:rsid w:val="3D196187"/>
    <w:rsid w:val="3EA348F6"/>
    <w:rsid w:val="3F674080"/>
    <w:rsid w:val="401C4056"/>
    <w:rsid w:val="40843EB2"/>
    <w:rsid w:val="43E17760"/>
    <w:rsid w:val="446379C6"/>
    <w:rsid w:val="45FE1449"/>
    <w:rsid w:val="4667463A"/>
    <w:rsid w:val="47992756"/>
    <w:rsid w:val="4896624D"/>
    <w:rsid w:val="48CF1742"/>
    <w:rsid w:val="4B1F5D09"/>
    <w:rsid w:val="4CF3411F"/>
    <w:rsid w:val="4FB6069C"/>
    <w:rsid w:val="50EB7E71"/>
    <w:rsid w:val="52CF4F80"/>
    <w:rsid w:val="536D38D5"/>
    <w:rsid w:val="54D12D71"/>
    <w:rsid w:val="55392A77"/>
    <w:rsid w:val="556C0470"/>
    <w:rsid w:val="5615448B"/>
    <w:rsid w:val="5761173E"/>
    <w:rsid w:val="58070CE6"/>
    <w:rsid w:val="5A651E78"/>
    <w:rsid w:val="5B0D4D97"/>
    <w:rsid w:val="5CC66A67"/>
    <w:rsid w:val="5D04337E"/>
    <w:rsid w:val="5D7739CD"/>
    <w:rsid w:val="5E6E483B"/>
    <w:rsid w:val="5EDF475D"/>
    <w:rsid w:val="5EEF3EA0"/>
    <w:rsid w:val="60940AF0"/>
    <w:rsid w:val="60D07165"/>
    <w:rsid w:val="617E6765"/>
    <w:rsid w:val="636853D6"/>
    <w:rsid w:val="63EB36AF"/>
    <w:rsid w:val="648653F4"/>
    <w:rsid w:val="66476D2B"/>
    <w:rsid w:val="69232124"/>
    <w:rsid w:val="69B41F21"/>
    <w:rsid w:val="6AA7642F"/>
    <w:rsid w:val="6C205100"/>
    <w:rsid w:val="6C244C49"/>
    <w:rsid w:val="6E2E4D0A"/>
    <w:rsid w:val="72D34490"/>
    <w:rsid w:val="73536C80"/>
    <w:rsid w:val="73D93204"/>
    <w:rsid w:val="74F04745"/>
    <w:rsid w:val="768F7D0A"/>
    <w:rsid w:val="76914FA4"/>
    <w:rsid w:val="7EBB0B61"/>
    <w:rsid w:val="7F105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styleId="2">
    <w:name w:val="heading 1"/>
    <w:basedOn w:val="1"/>
    <w:next w:val="1"/>
    <w:link w:val="21"/>
    <w:qFormat/>
    <w:uiPriority w:val="0"/>
    <w:pPr>
      <w:keepNext/>
      <w:keepLines/>
      <w:spacing w:before="100" w:after="100" w:line="360" w:lineRule="auto"/>
      <w:outlineLvl w:val="0"/>
    </w:pPr>
    <w:rPr>
      <w:rFonts w:asciiTheme="minorAscii" w:hAnsiTheme="minorAscii"/>
      <w:b/>
      <w:bCs/>
      <w:kern w:val="44"/>
      <w:szCs w:val="44"/>
    </w:rPr>
  </w:style>
  <w:style w:type="paragraph" w:styleId="3">
    <w:name w:val="heading 2"/>
    <w:basedOn w:val="1"/>
    <w:next w:val="1"/>
    <w:link w:val="22"/>
    <w:semiHidden/>
    <w:unhideWhenUsed/>
    <w:qFormat/>
    <w:uiPriority w:val="0"/>
    <w:pPr>
      <w:keepNext/>
      <w:keepLines/>
      <w:spacing w:before="80" w:after="80" w:line="360" w:lineRule="auto"/>
      <w:outlineLvl w:val="1"/>
    </w:pPr>
    <w:rPr>
      <w:rFonts w:eastAsia="仿宋" w:asciiTheme="majorAscii" w:hAnsiTheme="majorAscii" w:cstheme="majorBidi"/>
      <w:b/>
      <w:bCs/>
      <w:szCs w:val="32"/>
    </w:rPr>
  </w:style>
  <w:style w:type="paragraph" w:styleId="4">
    <w:name w:val="heading 3"/>
    <w:basedOn w:val="1"/>
    <w:next w:val="1"/>
    <w:link w:val="23"/>
    <w:autoRedefine/>
    <w:semiHidden/>
    <w:unhideWhenUsed/>
    <w:qFormat/>
    <w:uiPriority w:val="0"/>
    <w:pPr>
      <w:keepNext/>
      <w:keepLines/>
      <w:spacing w:before="60" w:after="60" w:line="360" w:lineRule="auto"/>
      <w:outlineLvl w:val="2"/>
    </w:pPr>
    <w:rPr>
      <w:rFonts w:cs="仿宋" w:asciiTheme="minorAscii" w:hAnsiTheme="minorAscii" w:eastAsiaTheme="minorEastAsia"/>
      <w:b/>
      <w:bCs/>
      <w:szCs w:val="32"/>
    </w:rPr>
  </w:style>
  <w:style w:type="paragraph" w:styleId="5">
    <w:name w:val="heading 4"/>
    <w:basedOn w:val="1"/>
    <w:next w:val="1"/>
    <w:link w:val="24"/>
    <w:semiHidden/>
    <w:unhideWhenUsed/>
    <w:qFormat/>
    <w:uiPriority w:val="0"/>
    <w:pPr>
      <w:keepNext/>
      <w:keepLines/>
      <w:spacing w:line="360" w:lineRule="auto"/>
      <w:ind w:firstLine="0" w:firstLineChars="0"/>
      <w:outlineLvl w:val="3"/>
    </w:pPr>
    <w:rPr>
      <w:rFonts w:ascii="Cambria" w:hAnsi="Cambria"/>
      <w:b/>
      <w:bCs/>
      <w:kern w:val="0"/>
      <w:szCs w:val="28"/>
    </w:rPr>
  </w:style>
  <w:style w:type="paragraph" w:styleId="6">
    <w:name w:val="heading 5"/>
    <w:basedOn w:val="1"/>
    <w:next w:val="1"/>
    <w:link w:val="25"/>
    <w:autoRedefine/>
    <w:semiHidden/>
    <w:unhideWhenUsed/>
    <w:qFormat/>
    <w:uiPriority w:val="0"/>
    <w:pPr>
      <w:keepNext/>
      <w:keepLines/>
      <w:spacing w:line="360" w:lineRule="auto"/>
      <w:ind w:firstLine="0" w:firstLineChars="0"/>
      <w:outlineLvl w:val="4"/>
    </w:pPr>
    <w:rPr>
      <w:b/>
      <w:bCs/>
      <w:szCs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firstLine="0"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0"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firstLine="0" w:firstLineChars="0"/>
      <w:outlineLvl w:val="7"/>
    </w:pPr>
    <w:rPr>
      <w:rFonts w:ascii="Arial" w:hAnsi="Arial" w:eastAsia="黑体"/>
      <w:sz w:val="24"/>
    </w:rPr>
  </w:style>
  <w:style w:type="character" w:default="1" w:styleId="20">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10">
    <w:name w:val="Normal Indent"/>
    <w:basedOn w:val="1"/>
    <w:qFormat/>
    <w:uiPriority w:val="0"/>
    <w:pPr>
      <w:ind w:firstLine="420" w:firstLineChars="200"/>
    </w:pPr>
  </w:style>
  <w:style w:type="paragraph" w:styleId="11">
    <w:name w:val="Body Text"/>
    <w:basedOn w:val="1"/>
    <w:link w:val="28"/>
    <w:qFormat/>
    <w:uiPriority w:val="0"/>
    <w:rPr>
      <w:kern w:val="0"/>
      <w:szCs w:val="20"/>
    </w:rPr>
  </w:style>
  <w:style w:type="paragraph" w:styleId="12">
    <w:name w:val="toc 3"/>
    <w:basedOn w:val="1"/>
    <w:next w:val="1"/>
    <w:qFormat/>
    <w:uiPriority w:val="0"/>
    <w:pPr>
      <w:tabs>
        <w:tab w:val="right" w:leader="dot" w:pos="8777"/>
      </w:tabs>
      <w:ind w:firstLine="1928" w:firstLineChars="400"/>
    </w:pPr>
    <w:rPr>
      <w:rFonts w:eastAsia="宋体" w:cs="Times New Roman"/>
      <w:iCs/>
      <w:sz w:val="21"/>
      <w:szCs w:val="20"/>
    </w:rPr>
  </w:style>
  <w:style w:type="paragraph" w:styleId="13">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line="240" w:lineRule="auto"/>
      <w:ind w:firstLine="0" w:firstLineChars="0"/>
    </w:pPr>
    <w:rPr>
      <w:sz w:val="21"/>
    </w:rPr>
  </w:style>
  <w:style w:type="paragraph" w:styleId="16">
    <w:name w:val="toc 2"/>
    <w:basedOn w:val="1"/>
    <w:next w:val="1"/>
    <w:qFormat/>
    <w:uiPriority w:val="0"/>
    <w:pPr>
      <w:widowControl/>
      <w:tabs>
        <w:tab w:val="right" w:leader="dot" w:pos="8777"/>
      </w:tabs>
      <w:adjustRightInd w:val="0"/>
      <w:snapToGrid w:val="0"/>
      <w:ind w:firstLine="482" w:firstLineChars="100"/>
      <w:jc w:val="left"/>
    </w:pPr>
    <w:rPr>
      <w:rFonts w:eastAsia="宋体" w:cs="Times New Roman"/>
      <w:smallCaps/>
      <w:sz w:val="21"/>
      <w:szCs w:val="20"/>
    </w:rPr>
  </w:style>
  <w:style w:type="paragraph" w:styleId="17">
    <w:name w:val="Normal (Web)"/>
    <w:basedOn w:val="1"/>
    <w:qFormat/>
    <w:uiPriority w:val="0"/>
    <w:pPr>
      <w:widowControl/>
      <w:spacing w:before="100" w:beforeAutospacing="1" w:after="100" w:afterAutospacing="1"/>
      <w:jc w:val="both"/>
    </w:pPr>
    <w:rPr>
      <w:rFonts w:ascii="宋体" w:hAnsi="宋体" w:eastAsia="仿宋" w:cs="宋体"/>
      <w:kern w:val="0"/>
      <w:sz w:val="28"/>
      <w:szCs w:val="24"/>
    </w:r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1">
    <w:name w:val="标题 1 Char"/>
    <w:basedOn w:val="20"/>
    <w:link w:val="2"/>
    <w:autoRedefine/>
    <w:qFormat/>
    <w:uiPriority w:val="9"/>
    <w:rPr>
      <w:rFonts w:asciiTheme="minorAscii" w:hAnsiTheme="minorAscii"/>
      <w:b/>
      <w:bCs/>
      <w:kern w:val="44"/>
      <w:sz w:val="28"/>
      <w:szCs w:val="44"/>
    </w:rPr>
  </w:style>
  <w:style w:type="character" w:customStyle="1" w:styleId="22">
    <w:name w:val="标题 2 Char"/>
    <w:basedOn w:val="20"/>
    <w:link w:val="3"/>
    <w:qFormat/>
    <w:uiPriority w:val="9"/>
    <w:rPr>
      <w:rFonts w:eastAsia="仿宋" w:asciiTheme="majorAscii" w:hAnsiTheme="majorAscii" w:cstheme="majorBidi"/>
      <w:b/>
      <w:bCs/>
      <w:sz w:val="28"/>
      <w:szCs w:val="32"/>
    </w:rPr>
  </w:style>
  <w:style w:type="character" w:customStyle="1" w:styleId="23">
    <w:name w:val="标题 3 Char"/>
    <w:basedOn w:val="20"/>
    <w:link w:val="4"/>
    <w:qFormat/>
    <w:uiPriority w:val="9"/>
    <w:rPr>
      <w:rFonts w:cs="仿宋" w:asciiTheme="minorAscii" w:hAnsiTheme="minorAscii" w:eastAsiaTheme="minorEastAsia"/>
      <w:b/>
      <w:bCs/>
      <w:sz w:val="28"/>
      <w:szCs w:val="32"/>
    </w:rPr>
  </w:style>
  <w:style w:type="character" w:customStyle="1" w:styleId="24">
    <w:name w:val="标题 4 Char"/>
    <w:basedOn w:val="20"/>
    <w:link w:val="5"/>
    <w:autoRedefine/>
    <w:qFormat/>
    <w:uiPriority w:val="9"/>
    <w:rPr>
      <w:rFonts w:ascii="Cambria" w:hAnsi="Cambria" w:eastAsia="宋体" w:cs="Times New Roman"/>
      <w:b/>
      <w:bCs/>
      <w:sz w:val="24"/>
      <w:szCs w:val="28"/>
    </w:rPr>
  </w:style>
  <w:style w:type="character" w:customStyle="1" w:styleId="25">
    <w:name w:val="标题 5 Char"/>
    <w:link w:val="6"/>
    <w:qFormat/>
    <w:uiPriority w:val="0"/>
    <w:rPr>
      <w:rFonts w:eastAsia="宋体"/>
      <w:b/>
      <w:bCs/>
      <w:kern w:val="2"/>
      <w:sz w:val="28"/>
      <w:szCs w:val="28"/>
    </w:rPr>
  </w:style>
  <w:style w:type="paragraph" w:customStyle="1" w:styleId="26">
    <w:name w:val="1正文"/>
    <w:link w:val="27"/>
    <w:autoRedefine/>
    <w:qFormat/>
    <w:uiPriority w:val="99"/>
    <w:pPr>
      <w:snapToGrid w:val="0"/>
      <w:spacing w:line="360" w:lineRule="auto"/>
      <w:ind w:firstLine="200" w:firstLineChars="200"/>
      <w:jc w:val="both"/>
    </w:pPr>
    <w:rPr>
      <w:rFonts w:ascii="Times New Roman" w:hAnsi="Times New Roman" w:eastAsia="宋体" w:cstheme="minorBidi"/>
      <w:kern w:val="2"/>
      <w:sz w:val="28"/>
      <w:szCs w:val="24"/>
      <w:lang w:val="en-US" w:eastAsia="zh-CN" w:bidi="ar-SA"/>
    </w:rPr>
  </w:style>
  <w:style w:type="character" w:customStyle="1" w:styleId="27">
    <w:name w:val="1正文 Char"/>
    <w:link w:val="26"/>
    <w:qFormat/>
    <w:locked/>
    <w:uiPriority w:val="99"/>
    <w:rPr>
      <w:rFonts w:ascii="Times New Roman" w:hAnsi="Times New Roman" w:eastAsia="宋体"/>
      <w:kern w:val="2"/>
      <w:sz w:val="28"/>
      <w:szCs w:val="24"/>
      <w:lang w:val="en-US" w:eastAsia="zh-CN" w:bidi="ar-SA"/>
    </w:rPr>
  </w:style>
  <w:style w:type="character" w:customStyle="1" w:styleId="28">
    <w:name w:val=" Char Char16"/>
    <w:link w:val="11"/>
    <w:qFormat/>
    <w:locked/>
    <w:uiPriority w:val="99"/>
    <w:rPr>
      <w:rFonts w:eastAsia="宋体" w:cs="Times New Roman"/>
      <w:sz w:val="28"/>
    </w:rPr>
  </w:style>
  <w:style w:type="paragraph" w:customStyle="1" w:styleId="29">
    <w:name w:val="1大标题"/>
    <w:qFormat/>
    <w:uiPriority w:val="99"/>
    <w:pPr>
      <w:spacing w:line="360" w:lineRule="auto"/>
      <w:jc w:val="center"/>
      <w:outlineLvl w:val="0"/>
    </w:pPr>
    <w:rPr>
      <w:rFonts w:ascii="Times New Roman" w:hAnsi="Times New Roman" w:eastAsia="宋体" w:cstheme="minorBidi"/>
      <w:b/>
      <w:kern w:val="2"/>
      <w:sz w:val="36"/>
      <w:szCs w:val="36"/>
      <w:lang w:val="en-US" w:eastAsia="zh-CN" w:bidi="ar-SA"/>
    </w:rPr>
  </w:style>
  <w:style w:type="paragraph" w:styleId="30">
    <w:name w:val="No Spacing"/>
    <w:basedOn w:val="1"/>
    <w:next w:val="1"/>
    <w:autoRedefine/>
    <w:qFormat/>
    <w:uiPriority w:val="0"/>
    <w:pPr>
      <w:spacing w:line="240" w:lineRule="auto"/>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14697</Words>
  <Characters>15173</Characters>
  <Lines>0</Lines>
  <Paragraphs>0</Paragraphs>
  <TotalTime>0</TotalTime>
  <ScaleCrop>false</ScaleCrop>
  <LinksUpToDate>false</LinksUpToDate>
  <CharactersWithSpaces>15379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2024-06-18T07:47:00Z</dcterms:created>
  <dc:creator>九降风</dc:creator>
  <cp:lastModifiedBy>英伦</cp:lastModifiedBy>
  <dcterms:modified xsi:type="dcterms:W3CDTF">2024-12-25T07:26:09Z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8C7F1A95813D4898BEE48B672B447CC6_11</vt:lpwstr>
  </property>
</Properties>
</file>