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pPr w:leftFromText="180" w:rightFromText="180" w:horzAnchor="margin" w:tblpXSpec="center" w:tblpY="-445"/>
        <w:tblW w:w="10476" w:type="dxa"/>
        <w:tblInd w:w="0" w:type="dxa"/>
        <w:tblLayout w:type="fixed"/>
        <w:tblCellMar>
          <w:top w:w="0" w:type="dxa"/>
          <w:left w:w="108" w:type="dxa"/>
          <w:bottom w:w="0" w:type="dxa"/>
          <w:right w:w="108" w:type="dxa"/>
        </w:tblCellMar>
      </w:tblPr>
      <w:tblGrid>
        <w:gridCol w:w="1483"/>
        <w:gridCol w:w="5649"/>
        <w:gridCol w:w="236"/>
        <w:gridCol w:w="2872"/>
        <w:gridCol w:w="236"/>
      </w:tblGrid>
      <w:tr>
        <w:tblPrEx>
          <w:tblCellMar>
            <w:top w:w="0" w:type="dxa"/>
            <w:left w:w="108" w:type="dxa"/>
            <w:bottom w:w="0" w:type="dxa"/>
            <w:right w:w="108" w:type="dxa"/>
          </w:tblCellMar>
        </w:tblPrEx>
        <w:trPr>
          <w:trHeight w:val="630" w:hRule="atLeast"/>
        </w:trPr>
        <w:tc>
          <w:tcPr>
            <w:tcW w:w="10476" w:type="dxa"/>
            <w:gridSpan w:val="5"/>
            <w:tcBorders>
              <w:top w:val="nil"/>
              <w:left w:val="nil"/>
              <w:bottom w:val="nil"/>
              <w:right w:val="nil"/>
            </w:tcBorders>
            <w:shd w:val="clear" w:color="auto" w:fill="auto"/>
            <w:vAlign w:val="bottom"/>
          </w:tcPr>
          <w:p>
            <w:pPr>
              <w:widowControl/>
              <w:jc w:val="center"/>
              <w:rPr>
                <w:rFonts w:ascii="宋体" w:hAnsi="宋体" w:eastAsia="宋体" w:cs="宋体"/>
                <w:b/>
                <w:bCs/>
                <w:color w:val="000000"/>
                <w:kern w:val="0"/>
                <w:sz w:val="48"/>
                <w:szCs w:val="48"/>
              </w:rPr>
            </w:pPr>
            <w:r>
              <w:rPr>
                <w:rFonts w:hint="eastAsia" w:ascii="宋体" w:hAnsi="宋体" w:eastAsia="宋体" w:cs="宋体"/>
                <w:b/>
                <w:bCs/>
                <w:color w:val="000000"/>
                <w:kern w:val="0"/>
                <w:sz w:val="44"/>
                <w:szCs w:val="36"/>
              </w:rPr>
              <w:t>张家界锣鼓塔污水厂信息公开</w:t>
            </w:r>
          </w:p>
        </w:tc>
      </w:tr>
      <w:tr>
        <w:tblPrEx>
          <w:tblCellMar>
            <w:top w:w="0" w:type="dxa"/>
            <w:left w:w="108" w:type="dxa"/>
            <w:bottom w:w="0" w:type="dxa"/>
            <w:right w:w="108" w:type="dxa"/>
          </w:tblCellMar>
        </w:tblPrEx>
        <w:trPr>
          <w:trHeight w:val="270" w:hRule="atLeast"/>
        </w:trPr>
        <w:tc>
          <w:tcPr>
            <w:tcW w:w="1483"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5649"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872"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0" w:hRule="atLeast"/>
        </w:trPr>
        <w:tc>
          <w:tcPr>
            <w:tcW w:w="10476" w:type="dxa"/>
            <w:gridSpan w:val="5"/>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32"/>
                <w:szCs w:val="32"/>
              </w:rPr>
            </w:pPr>
            <w:r>
              <w:rPr>
                <w:rFonts w:hint="eastAsia" w:ascii="宋体" w:hAnsi="宋体" w:eastAsia="宋体" w:cs="宋体"/>
                <w:color w:val="000000"/>
                <w:kern w:val="0"/>
                <w:sz w:val="32"/>
                <w:szCs w:val="32"/>
              </w:rPr>
              <w:t>一、基础信息</w:t>
            </w:r>
          </w:p>
        </w:tc>
      </w:tr>
      <w:tr>
        <w:tblPrEx>
          <w:tblCellMar>
            <w:top w:w="0" w:type="dxa"/>
            <w:left w:w="108" w:type="dxa"/>
            <w:bottom w:w="0" w:type="dxa"/>
            <w:right w:w="108" w:type="dxa"/>
          </w:tblCellMar>
        </w:tblPrEx>
        <w:trPr>
          <w:trHeight w:val="555" w:hRule="atLeast"/>
        </w:trPr>
        <w:tc>
          <w:tcPr>
            <w:tcW w:w="10476" w:type="dxa"/>
            <w:gridSpan w:val="5"/>
            <w:tcBorders>
              <w:top w:val="nil"/>
              <w:left w:val="nil"/>
              <w:bottom w:val="nil"/>
              <w:right w:val="nil"/>
            </w:tcBorders>
            <w:shd w:val="clear" w:color="auto" w:fill="auto"/>
            <w:vAlign w:val="bottom"/>
          </w:tcPr>
          <w:p>
            <w:pPr>
              <w:widowControl/>
              <w:ind w:firstLine="960" w:firstLineChars="300"/>
              <w:rPr>
                <w:rFonts w:ascii="宋体" w:hAnsi="宋体" w:eastAsia="宋体" w:cs="宋体"/>
                <w:b/>
                <w:bCs/>
                <w:color w:val="000000"/>
                <w:kern w:val="0"/>
                <w:sz w:val="40"/>
                <w:szCs w:val="40"/>
              </w:rPr>
            </w:pPr>
            <w:r>
              <w:rPr>
                <w:rFonts w:hint="eastAsia" w:ascii="宋体" w:hAnsi="宋体" w:eastAsia="宋体" w:cs="宋体"/>
                <w:b/>
                <w:bCs/>
                <w:color w:val="000000"/>
                <w:kern w:val="0"/>
                <w:sz w:val="32"/>
                <w:szCs w:val="32"/>
              </w:rPr>
              <w:t>张家界锣鼓塔污水处理厂基本情况表</w:t>
            </w:r>
          </w:p>
        </w:tc>
      </w:tr>
    </w:tbl>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35"/>
        <w:gridCol w:w="1620"/>
        <w:gridCol w:w="1200"/>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类别</w:t>
            </w:r>
          </w:p>
        </w:tc>
        <w:tc>
          <w:tcPr>
            <w:tcW w:w="5251" w:type="dxa"/>
            <w:gridSpan w:val="3"/>
          </w:tcPr>
          <w:p>
            <w:pPr>
              <w:jc w:val="center"/>
              <w:rPr>
                <w:rFonts w:cs="宋体" w:asciiTheme="minorEastAsia" w:hAnsiTheme="minorEastAsia"/>
                <w:color w:val="000000"/>
                <w:kern w:val="0"/>
                <w:sz w:val="24"/>
                <w:szCs w:val="24"/>
              </w:rPr>
            </w:pPr>
          </w:p>
          <w:p>
            <w:pPr>
              <w:jc w:val="center"/>
              <w:rPr>
                <w:rFonts w:asciiTheme="minorEastAsia" w:hAnsiTheme="minorEastAsia"/>
                <w:sz w:val="24"/>
                <w:szCs w:val="24"/>
              </w:rPr>
            </w:pPr>
            <w:r>
              <w:rPr>
                <w:rFonts w:hint="eastAsia" w:cs="宋体" w:asciiTheme="minorEastAsia" w:hAnsiTheme="minorEastAsia"/>
                <w:color w:val="000000"/>
                <w:kern w:val="0"/>
                <w:sz w:val="24"/>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企业名称</w:t>
            </w:r>
          </w:p>
        </w:tc>
        <w:tc>
          <w:tcPr>
            <w:tcW w:w="5251" w:type="dxa"/>
            <w:gridSpan w:val="3"/>
            <w:vAlign w:val="bottom"/>
          </w:tcPr>
          <w:p>
            <w:pPr>
              <w:rPr>
                <w:rFonts w:asciiTheme="minorEastAsia" w:hAnsiTheme="minorEastAsia"/>
                <w:sz w:val="24"/>
                <w:szCs w:val="24"/>
              </w:rPr>
            </w:pPr>
            <w:r>
              <w:rPr>
                <w:rFonts w:hint="eastAsia" w:cs="宋体" w:asciiTheme="minorEastAsia" w:hAnsiTheme="minorEastAsia"/>
                <w:color w:val="000000"/>
                <w:kern w:val="0"/>
                <w:sz w:val="24"/>
                <w:szCs w:val="24"/>
              </w:rPr>
              <w:t>张家界锣鼓塔污水处理有限公司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行业名称</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建设地点</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张家界国家森林公园锣鼓塔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法人代表</w:t>
            </w:r>
          </w:p>
        </w:tc>
        <w:tc>
          <w:tcPr>
            <w:tcW w:w="162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卓峰元</w:t>
            </w:r>
          </w:p>
        </w:tc>
        <w:tc>
          <w:tcPr>
            <w:tcW w:w="120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机构代码</w:t>
            </w:r>
          </w:p>
        </w:tc>
        <w:tc>
          <w:tcPr>
            <w:tcW w:w="2431"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914308006755998245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联系方式</w:t>
            </w:r>
          </w:p>
        </w:tc>
        <w:tc>
          <w:tcPr>
            <w:tcW w:w="5251" w:type="dxa"/>
            <w:gridSpan w:val="3"/>
          </w:tcPr>
          <w:p>
            <w:pPr>
              <w:jc w:val="left"/>
              <w:rPr>
                <w:rFonts w:asciiTheme="minorEastAsia" w:hAnsiTheme="minorEastAsia"/>
                <w:sz w:val="24"/>
                <w:szCs w:val="24"/>
              </w:rPr>
            </w:pPr>
          </w:p>
          <w:p>
            <w:pPr>
              <w:jc w:val="left"/>
              <w:rPr>
                <w:rFonts w:asciiTheme="minorEastAsia" w:hAnsiTheme="minorEastAsia"/>
                <w:sz w:val="24"/>
                <w:szCs w:val="24"/>
              </w:rPr>
            </w:pPr>
            <w:r>
              <w:rPr>
                <w:rFonts w:hint="eastAsia" w:asciiTheme="minorEastAsia" w:hAnsiTheme="minorEastAsia"/>
                <w:sz w:val="24"/>
                <w:szCs w:val="24"/>
              </w:rPr>
              <w:t>0744-5712585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产品设计规模</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实际产能</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环评情况</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湘环评[2001]102号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工程投资情况</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总投资：6788.87万元，环保投资：6188.87万元，占总投资的91.2%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时间</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2005年03月竣工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年平均工作时（小时）</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占地面积</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占地面积27469.2</w:t>
            </w:r>
            <w:r>
              <w:rPr>
                <w:rFonts w:hint="eastAsia" w:ascii="宋体" w:hAnsi="宋体" w:eastAsia="宋体" w:cs="宋体"/>
                <w:sz w:val="24"/>
                <w:szCs w:val="24"/>
              </w:rPr>
              <w:t>㎡，其中建筑占地面积9883㎡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经营范围</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生活、工业废水处理；计算机软硬件开发、销售；计算机系统集成、数据处理和存储服务；（不含在线数据）；工业自动化控制系统装置、机械施工；仪器仪表、电子产品、五金产品、通用设备及配件、电气机械及器材销售；旅游咨询服务；污水处理运营服务；中水处理；中水运营服务。（依法须经批准的项目，经相关部门批准后方可开展经营活动）</w:t>
            </w:r>
          </w:p>
        </w:tc>
      </w:tr>
    </w:tbl>
    <w:p>
      <w:pPr>
        <w:rPr>
          <w:rFonts w:ascii="宋体" w:hAnsi="宋体" w:eastAsia="宋体" w:cs="宋体"/>
          <w:color w:val="000000"/>
          <w:kern w:val="0"/>
          <w:sz w:val="32"/>
          <w:szCs w:val="32"/>
        </w:rPr>
      </w:pPr>
      <w:r>
        <w:rPr>
          <w:rFonts w:hint="eastAsia" w:ascii="宋体" w:hAnsi="宋体" w:eastAsia="宋体" w:cs="宋体"/>
          <w:color w:val="000000"/>
          <w:kern w:val="0"/>
          <w:sz w:val="32"/>
          <w:szCs w:val="32"/>
        </w:rPr>
        <w:t>二、排污信息（20</w:t>
      </w:r>
      <w:r>
        <w:rPr>
          <w:rFonts w:ascii="宋体" w:hAnsi="宋体" w:eastAsia="宋体" w:cs="宋体"/>
          <w:color w:val="000000"/>
          <w:kern w:val="0"/>
          <w:sz w:val="32"/>
          <w:szCs w:val="32"/>
        </w:rPr>
        <w:t>2</w:t>
      </w:r>
      <w:r>
        <w:rPr>
          <w:rFonts w:hint="default" w:ascii="宋体" w:hAnsi="宋体" w:eastAsia="宋体" w:cs="宋体"/>
          <w:color w:val="000000"/>
          <w:kern w:val="0"/>
          <w:sz w:val="32"/>
          <w:szCs w:val="32"/>
          <w:lang w:val="en-US"/>
        </w:rPr>
        <w:t>4</w:t>
      </w:r>
      <w:r>
        <w:rPr>
          <w:rFonts w:hint="eastAsia" w:ascii="宋体" w:hAnsi="宋体" w:eastAsia="宋体" w:cs="宋体"/>
          <w:color w:val="000000"/>
          <w:kern w:val="0"/>
          <w:sz w:val="32"/>
          <w:szCs w:val="32"/>
        </w:rPr>
        <w:t>年</w:t>
      </w:r>
      <w:r>
        <w:rPr>
          <w:rFonts w:hint="default" w:ascii="宋体" w:hAnsi="宋体" w:eastAsia="宋体" w:cs="宋体"/>
          <w:color w:val="000000"/>
          <w:kern w:val="0"/>
          <w:sz w:val="32"/>
          <w:szCs w:val="32"/>
          <w:lang w:val="en-US"/>
        </w:rPr>
        <w:t>10</w:t>
      </w:r>
      <w:r>
        <w:rPr>
          <w:rFonts w:hint="eastAsia" w:ascii="宋体" w:hAnsi="宋体" w:eastAsia="宋体" w:cs="宋体"/>
          <w:color w:val="000000"/>
          <w:kern w:val="0"/>
          <w:sz w:val="32"/>
          <w:szCs w:val="32"/>
        </w:rPr>
        <w:t>月</w:t>
      </w:r>
      <w:r>
        <w:rPr>
          <w:rFonts w:ascii="宋体" w:hAnsi="宋体" w:eastAsia="宋体" w:cs="宋体"/>
          <w:color w:val="000000"/>
          <w:kern w:val="0"/>
          <w:sz w:val="32"/>
          <w:szCs w:val="32"/>
        </w:rPr>
        <w:t>—</w:t>
      </w:r>
      <w:r>
        <w:rPr>
          <w:rFonts w:hint="default" w:ascii="宋体" w:hAnsi="宋体" w:eastAsia="宋体" w:cs="宋体"/>
          <w:color w:val="000000"/>
          <w:kern w:val="0"/>
          <w:sz w:val="32"/>
          <w:szCs w:val="32"/>
          <w:lang w:val="en-US"/>
        </w:rPr>
        <w:t xml:space="preserve"> 12</w:t>
      </w:r>
      <w:r>
        <w:rPr>
          <w:rFonts w:hint="eastAsia" w:ascii="宋体" w:hAnsi="宋体" w:eastAsia="宋体" w:cs="宋体"/>
          <w:color w:val="000000"/>
          <w:kern w:val="0"/>
          <w:sz w:val="32"/>
          <w:szCs w:val="32"/>
        </w:rPr>
        <w:t>月）</w:t>
      </w:r>
    </w:p>
    <w:tbl>
      <w:tblPr>
        <w:tblStyle w:val="24"/>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95"/>
        <w:gridCol w:w="826"/>
        <w:gridCol w:w="1031"/>
        <w:gridCol w:w="1016"/>
        <w:gridCol w:w="904"/>
        <w:gridCol w:w="825"/>
        <w:gridCol w:w="706"/>
        <w:gridCol w:w="73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32"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排污总量</w:t>
            </w:r>
          </w:p>
        </w:tc>
        <w:tc>
          <w:tcPr>
            <w:tcW w:w="1095" w:type="dxa"/>
            <w:vAlign w:val="top"/>
          </w:tcPr>
          <w:p>
            <w:pPr>
              <w:jc w:val="center"/>
              <w:rPr>
                <w:rFonts w:hint="default" w:cs="宋体" w:asciiTheme="minorEastAsia" w:hAnsiTheme="minorEastAsia"/>
                <w:color w:val="000000"/>
                <w:kern w:val="0"/>
                <w:sz w:val="24"/>
                <w:szCs w:val="24"/>
                <w:lang w:val="en-US"/>
              </w:rPr>
            </w:pPr>
          </w:p>
          <w:p>
            <w:pPr>
              <w:jc w:val="both"/>
              <w:rPr>
                <w:rFonts w:cs="宋体" w:asciiTheme="minorEastAsia" w:hAnsiTheme="minorEastAsia"/>
                <w:color w:val="000000"/>
                <w:kern w:val="0"/>
                <w:sz w:val="24"/>
                <w:szCs w:val="24"/>
              </w:rPr>
            </w:pPr>
            <w:r>
              <w:rPr>
                <w:rFonts w:hint="default" w:cs="宋体" w:asciiTheme="minorEastAsia" w:hAnsiTheme="minorEastAsia"/>
                <w:color w:val="000000"/>
                <w:kern w:val="0"/>
                <w:sz w:val="24"/>
                <w:szCs w:val="24"/>
                <w:lang w:val="en-US"/>
              </w:rPr>
              <w:t>49290</w:t>
            </w:r>
            <w:r>
              <w:rPr>
                <w:rFonts w:hint="eastAsia" w:cs="宋体" w:asciiTheme="minorEastAsia" w:hAnsiTheme="minorEastAsia"/>
                <w:color w:val="000000"/>
                <w:kern w:val="0"/>
                <w:sz w:val="24"/>
                <w:szCs w:val="24"/>
              </w:rPr>
              <w:t>吨</w:t>
            </w:r>
          </w:p>
        </w:tc>
        <w:tc>
          <w:tcPr>
            <w:tcW w:w="82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排放方式</w:t>
            </w:r>
          </w:p>
          <w:p>
            <w:pPr>
              <w:jc w:val="left"/>
              <w:rPr>
                <w:rFonts w:cs="宋体" w:asciiTheme="minorEastAsia" w:hAnsiTheme="minorEastAsia"/>
                <w:color w:val="000000"/>
                <w:kern w:val="0"/>
                <w:sz w:val="24"/>
                <w:szCs w:val="24"/>
              </w:rPr>
            </w:pPr>
          </w:p>
        </w:tc>
        <w:tc>
          <w:tcPr>
            <w:tcW w:w="1031"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间断式排放</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排放口数量</w:t>
            </w:r>
          </w:p>
        </w:tc>
        <w:tc>
          <w:tcPr>
            <w:tcW w:w="904"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1个</w:t>
            </w:r>
          </w:p>
        </w:tc>
        <w:tc>
          <w:tcPr>
            <w:tcW w:w="825"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分布情况</w:t>
            </w:r>
          </w:p>
          <w:p>
            <w:pPr>
              <w:jc w:val="left"/>
              <w:rPr>
                <w:rFonts w:cs="宋体" w:asciiTheme="minorEastAsia" w:hAnsiTheme="minorEastAsia"/>
                <w:color w:val="000000"/>
                <w:kern w:val="0"/>
                <w:sz w:val="24"/>
                <w:szCs w:val="24"/>
              </w:rPr>
            </w:pPr>
          </w:p>
        </w:tc>
        <w:tc>
          <w:tcPr>
            <w:tcW w:w="70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总出水口</w:t>
            </w:r>
          </w:p>
        </w:tc>
        <w:tc>
          <w:tcPr>
            <w:tcW w:w="739" w:type="dxa"/>
            <w:vAlign w:val="top"/>
          </w:tcPr>
          <w:p>
            <w:pPr>
              <w:jc w:val="left"/>
              <w:rPr>
                <w:rFonts w:hint="eastAsia"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排放去向</w:t>
            </w:r>
          </w:p>
          <w:p>
            <w:pPr>
              <w:jc w:val="left"/>
              <w:rPr>
                <w:rFonts w:cs="宋体" w:asciiTheme="minorEastAsia" w:hAnsiTheme="minorEastAsia"/>
                <w:color w:val="000000"/>
                <w:kern w:val="0"/>
                <w:sz w:val="24"/>
                <w:szCs w:val="24"/>
              </w:rPr>
            </w:pPr>
          </w:p>
        </w:tc>
        <w:tc>
          <w:tcPr>
            <w:tcW w:w="622"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金鞭溪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927" w:type="dxa"/>
            <w:gridSpan w:val="2"/>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排放污染物名称</w:t>
            </w:r>
          </w:p>
        </w:tc>
        <w:tc>
          <w:tcPr>
            <w:tcW w:w="82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排放标准mg/1</w:t>
            </w:r>
          </w:p>
        </w:tc>
        <w:tc>
          <w:tcPr>
            <w:tcW w:w="1031"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月均进水浓度</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月均排污浓度</w:t>
            </w:r>
          </w:p>
          <w:p>
            <w:pPr>
              <w:jc w:val="left"/>
              <w:rPr>
                <w:rFonts w:cs="宋体" w:asciiTheme="minorEastAsia" w:hAnsiTheme="minorEastAsia"/>
                <w:color w:val="000000"/>
                <w:kern w:val="0"/>
                <w:sz w:val="24"/>
                <w:szCs w:val="24"/>
              </w:rPr>
            </w:pPr>
          </w:p>
        </w:tc>
        <w:tc>
          <w:tcPr>
            <w:tcW w:w="904"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排放总量（吨）</w:t>
            </w:r>
          </w:p>
        </w:tc>
        <w:tc>
          <w:tcPr>
            <w:tcW w:w="153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超标情况</w:t>
            </w:r>
          </w:p>
          <w:p>
            <w:pPr>
              <w:jc w:val="left"/>
              <w:rPr>
                <w:rFonts w:cs="宋体" w:asciiTheme="minorEastAsia" w:hAnsiTheme="minorEastAsia"/>
                <w:color w:val="000000"/>
                <w:kern w:val="0"/>
                <w:sz w:val="24"/>
                <w:szCs w:val="24"/>
              </w:rPr>
            </w:pPr>
          </w:p>
        </w:tc>
        <w:tc>
          <w:tcPr>
            <w:tcW w:w="136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备注</w:t>
            </w:r>
          </w:p>
          <w:p>
            <w:pPr>
              <w:jc w:val="left"/>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COD</w:t>
            </w:r>
            <w:r>
              <w:rPr>
                <w:rFonts w:hint="eastAsia" w:asciiTheme="minorEastAsia" w:hAnsiTheme="minorEastAsia"/>
                <w:color w:val="000000"/>
                <w:sz w:val="24"/>
                <w:szCs w:val="24"/>
                <w:vertAlign w:val="subscript"/>
              </w:rPr>
              <w:t>cr</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117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14</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0.69</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BOD</w:t>
            </w:r>
            <w:r>
              <w:rPr>
                <w:rFonts w:hint="eastAsia" w:asciiTheme="minorEastAsia" w:hAnsiTheme="minorEastAsia"/>
                <w:color w:val="000000"/>
                <w:sz w:val="24"/>
                <w:szCs w:val="24"/>
                <w:vertAlign w:val="subscript"/>
              </w:rPr>
              <w:t>5</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50.3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3.03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0.149</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SS</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22.9</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7.67</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0.378</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NH</w:t>
            </w:r>
            <w:r>
              <w:rPr>
                <w:rFonts w:hint="eastAsia" w:asciiTheme="minorEastAsia" w:hAnsiTheme="minorEastAsia"/>
                <w:color w:val="000000"/>
                <w:sz w:val="24"/>
                <w:szCs w:val="24"/>
                <w:vertAlign w:val="subscript"/>
              </w:rPr>
              <w:t>3</w:t>
            </w:r>
            <w:r>
              <w:rPr>
                <w:rFonts w:hint="eastAsia" w:asciiTheme="minorEastAsia" w:hAnsiTheme="minorEastAsia"/>
                <w:color w:val="000000"/>
                <w:sz w:val="24"/>
                <w:szCs w:val="24"/>
              </w:rPr>
              <w:t>-N</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≤5（8）</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12.22</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0.015</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TP</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1.82</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0.37</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0.018</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27" w:type="dxa"/>
            <w:gridSpan w:val="2"/>
          </w:tcPr>
          <w:p>
            <w:pPr>
              <w:jc w:val="center"/>
              <w:rPr>
                <w:rFonts w:hint="eastAsia" w:asciiTheme="minorEastAsia" w:hAnsiTheme="minorEastAsia"/>
                <w:color w:val="000000"/>
                <w:sz w:val="24"/>
                <w:szCs w:val="24"/>
              </w:rPr>
            </w:pPr>
            <w:r>
              <w:rPr>
                <w:rFonts w:hint="eastAsia" w:asciiTheme="minorEastAsia" w:hAnsiTheme="minorEastAsia"/>
                <w:color w:val="000000"/>
                <w:sz w:val="24"/>
                <w:szCs w:val="24"/>
              </w:rPr>
              <w:t>总氮</w:t>
            </w:r>
          </w:p>
        </w:tc>
        <w:tc>
          <w:tcPr>
            <w:tcW w:w="826" w:type="dxa"/>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15</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23.07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1.76</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0.087</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bl>
    <w:p>
      <w:pPr>
        <w:spacing w:line="336" w:lineRule="auto"/>
        <w:ind w:firstLine="560" w:firstLineChars="200"/>
        <w:rPr>
          <w:sz w:val="28"/>
          <w:szCs w:val="28"/>
        </w:rPr>
      </w:pPr>
      <w:r>
        <w:rPr>
          <w:rFonts w:hint="eastAsia"/>
          <w:sz w:val="28"/>
          <w:szCs w:val="28"/>
        </w:rPr>
        <w:t>备注：处理后的</w:t>
      </w:r>
      <w:r>
        <w:rPr>
          <w:sz w:val="28"/>
          <w:szCs w:val="28"/>
        </w:rPr>
        <w:t>废水执行《</w:t>
      </w:r>
      <w:r>
        <w:rPr>
          <w:rFonts w:hint="eastAsia"/>
          <w:sz w:val="28"/>
          <w:szCs w:val="28"/>
        </w:rPr>
        <w:t>城镇污水处理厂</w:t>
      </w:r>
      <w:r>
        <w:rPr>
          <w:sz w:val="28"/>
          <w:szCs w:val="28"/>
        </w:rPr>
        <w:t>污染物排放标准》(GB</w:t>
      </w:r>
      <w:r>
        <w:rPr>
          <w:rFonts w:hint="eastAsia"/>
          <w:sz w:val="28"/>
          <w:szCs w:val="28"/>
        </w:rPr>
        <w:t>18918—2002</w:t>
      </w:r>
      <w:r>
        <w:rPr>
          <w:sz w:val="28"/>
          <w:szCs w:val="28"/>
        </w:rPr>
        <w:t>)</w:t>
      </w:r>
      <w:r>
        <w:rPr>
          <w:rFonts w:hint="eastAsia"/>
          <w:sz w:val="28"/>
          <w:szCs w:val="28"/>
        </w:rPr>
        <w:t>一</w:t>
      </w:r>
      <w:r>
        <w:rPr>
          <w:sz w:val="28"/>
          <w:szCs w:val="28"/>
        </w:rPr>
        <w:t>级标准</w:t>
      </w:r>
      <w:r>
        <w:rPr>
          <w:rFonts w:hint="eastAsia"/>
          <w:sz w:val="28"/>
          <w:szCs w:val="28"/>
        </w:rPr>
        <w:t>的A标准</w:t>
      </w:r>
      <w:r>
        <w:rPr>
          <w:sz w:val="28"/>
          <w:szCs w:val="28"/>
        </w:rPr>
        <w:t>。括号外数值为水温&gt;12</w:t>
      </w:r>
      <w:r>
        <w:rPr>
          <w:rFonts w:hint="eastAsia" w:ascii="宋体" w:hAnsi="宋体" w:cs="宋体"/>
          <w:sz w:val="28"/>
          <w:szCs w:val="28"/>
        </w:rPr>
        <w:t>℃</w:t>
      </w:r>
      <w:r>
        <w:rPr>
          <w:sz w:val="28"/>
          <w:szCs w:val="28"/>
        </w:rPr>
        <w:t xml:space="preserve"> 时的控制指标，括号内数值为水温≤12</w:t>
      </w:r>
      <w:r>
        <w:rPr>
          <w:rFonts w:hint="eastAsia" w:ascii="宋体" w:hAnsi="宋体" w:cs="宋体"/>
          <w:sz w:val="28"/>
          <w:szCs w:val="28"/>
        </w:rPr>
        <w:t>℃</w:t>
      </w:r>
      <w:r>
        <w:rPr>
          <w:sz w:val="28"/>
          <w:szCs w:val="28"/>
        </w:rPr>
        <w:t>时的控制指标。</w:t>
      </w:r>
      <w:bookmarkStart w:id="14" w:name="_GoBack"/>
      <w:bookmarkEnd w:id="14"/>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防治污染物设施的建设和运行情况</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锣鼓塔污水处理厂各设备运行正常，出水稳定达标排放。</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突发环境事件应急预案</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按照环保部门要求，公司已于</w:t>
      </w:r>
      <w:r>
        <w:rPr>
          <w:rFonts w:hint="default" w:ascii="宋体" w:hAnsi="宋体" w:eastAsia="宋体" w:cs="宋体"/>
          <w:color w:val="000000"/>
          <w:kern w:val="0"/>
          <w:sz w:val="28"/>
          <w:szCs w:val="28"/>
          <w:lang w:val="en-US"/>
        </w:rPr>
        <w:t>2024</w:t>
      </w:r>
      <w:r>
        <w:rPr>
          <w:rFonts w:hint="eastAsia" w:ascii="宋体" w:hAnsi="宋体" w:eastAsia="宋体" w:cs="宋体"/>
          <w:color w:val="000000"/>
          <w:kern w:val="0"/>
          <w:sz w:val="28"/>
          <w:szCs w:val="28"/>
        </w:rPr>
        <w:t>年</w:t>
      </w:r>
      <w:r>
        <w:rPr>
          <w:rFonts w:hint="default" w:ascii="宋体" w:hAnsi="宋体" w:eastAsia="宋体" w:cs="宋体"/>
          <w:color w:val="000000"/>
          <w:kern w:val="0"/>
          <w:sz w:val="28"/>
          <w:szCs w:val="28"/>
          <w:lang w:val="en-US"/>
        </w:rPr>
        <w:t>6</w:t>
      </w:r>
      <w:r>
        <w:rPr>
          <w:rFonts w:hint="eastAsia" w:ascii="宋体" w:hAnsi="宋体" w:eastAsia="宋体" w:cs="宋体"/>
          <w:color w:val="000000"/>
          <w:kern w:val="0"/>
          <w:sz w:val="28"/>
          <w:szCs w:val="28"/>
        </w:rPr>
        <w:t>月2</w:t>
      </w:r>
      <w:r>
        <w:rPr>
          <w:rFonts w:hint="default" w:ascii="宋体" w:hAnsi="宋体" w:eastAsia="宋体" w:cs="宋体"/>
          <w:color w:val="000000"/>
          <w:kern w:val="0"/>
          <w:sz w:val="28"/>
          <w:szCs w:val="28"/>
          <w:lang w:val="en-US"/>
        </w:rPr>
        <w:t>7</w:t>
      </w:r>
      <w:r>
        <w:rPr>
          <w:rFonts w:hint="eastAsia" w:ascii="宋体" w:hAnsi="宋体" w:eastAsia="宋体" w:cs="宋体"/>
          <w:color w:val="000000"/>
          <w:kern w:val="0"/>
          <w:sz w:val="28"/>
          <w:szCs w:val="28"/>
        </w:rPr>
        <w:t>日完成应急预案编制工作，</w:t>
      </w:r>
      <w:r>
        <w:rPr>
          <w:rFonts w:hint="eastAsia" w:ascii="宋体" w:hAnsi="宋体" w:eastAsia="宋体" w:cs="宋体"/>
          <w:color w:val="000000"/>
          <w:kern w:val="0"/>
          <w:sz w:val="28"/>
          <w:szCs w:val="28"/>
          <w:lang w:val="en-US" w:eastAsia="zh-CN"/>
        </w:rPr>
        <w:t>张家界市生态环境局武陵源分局</w:t>
      </w:r>
      <w:r>
        <w:rPr>
          <w:rFonts w:hint="eastAsia" w:ascii="宋体" w:hAnsi="宋体" w:eastAsia="宋体" w:cs="宋体"/>
          <w:color w:val="000000"/>
          <w:kern w:val="0"/>
          <w:sz w:val="28"/>
          <w:szCs w:val="28"/>
        </w:rPr>
        <w:t>备案，备案编号为：4308</w:t>
      </w:r>
      <w:r>
        <w:rPr>
          <w:rFonts w:ascii="宋体" w:hAnsi="宋体" w:eastAsia="宋体" w:cs="宋体"/>
          <w:color w:val="000000"/>
          <w:kern w:val="0"/>
          <w:sz w:val="28"/>
          <w:szCs w:val="28"/>
        </w:rPr>
        <w:t>11202</w:t>
      </w:r>
      <w:r>
        <w:rPr>
          <w:rFonts w:hint="default" w:ascii="宋体" w:hAnsi="宋体" w:eastAsia="宋体" w:cs="宋体"/>
          <w:color w:val="000000"/>
          <w:kern w:val="0"/>
          <w:sz w:val="28"/>
          <w:szCs w:val="28"/>
          <w:lang w:val="en-US"/>
        </w:rPr>
        <w:t>4</w:t>
      </w:r>
      <w:r>
        <w:rPr>
          <w:rFonts w:ascii="宋体" w:hAnsi="宋体" w:eastAsia="宋体" w:cs="宋体"/>
          <w:color w:val="000000"/>
          <w:kern w:val="0"/>
          <w:sz w:val="28"/>
          <w:szCs w:val="28"/>
        </w:rPr>
        <w:t>00</w:t>
      </w:r>
      <w:r>
        <w:rPr>
          <w:rFonts w:hint="default" w:ascii="宋体" w:hAnsi="宋体" w:eastAsia="宋体" w:cs="宋体"/>
          <w:color w:val="000000"/>
          <w:kern w:val="0"/>
          <w:sz w:val="28"/>
          <w:szCs w:val="28"/>
          <w:lang w:val="en-US"/>
        </w:rPr>
        <w:t>6</w:t>
      </w:r>
      <w:r>
        <w:rPr>
          <w:rFonts w:hint="eastAsia" w:ascii="宋体" w:hAnsi="宋体" w:eastAsia="宋体" w:cs="宋体"/>
          <w:color w:val="000000"/>
          <w:kern w:val="0"/>
          <w:sz w:val="28"/>
          <w:szCs w:val="28"/>
        </w:rPr>
        <w:t>L。</w:t>
      </w:r>
    </w:p>
    <w:p>
      <w:pPr>
        <w:numPr>
          <w:ilvl w:val="0"/>
          <w:numId w:val="1"/>
        </w:numPr>
        <w:ind w:left="0" w:leftChars="0" w:firstLine="0" w:firstLineChars="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环境自行监测方案（附后）</w:t>
      </w:r>
    </w:p>
    <w:p>
      <w:pPr>
        <w:numPr>
          <w:ilvl w:val="0"/>
          <w:numId w:val="0"/>
        </w:numPr>
        <w:ind w:leftChars="0"/>
        <w:rPr>
          <w:rFonts w:hint="eastAsia" w:ascii="宋体" w:hAnsi="宋体" w:eastAsia="宋体" w:cs="宋体"/>
          <w:color w:val="000000"/>
          <w:kern w:val="0"/>
          <w:sz w:val="28"/>
          <w:szCs w:val="28"/>
        </w:rPr>
      </w:pPr>
    </w:p>
    <w:p>
      <w:pPr>
        <w:spacing w:line="720" w:lineRule="auto"/>
        <w:ind w:firstLine="320"/>
        <w:jc w:val="center"/>
        <w:rPr>
          <w:rFonts w:hint="eastAsia" w:asciiTheme="minorEastAsia" w:hAnsiTheme="minorEastAsia"/>
          <w:b/>
          <w:spacing w:val="80"/>
          <w:sz w:val="48"/>
          <w:szCs w:val="48"/>
        </w:rPr>
      </w:pPr>
    </w:p>
    <w:p>
      <w:pPr>
        <w:spacing w:line="720" w:lineRule="auto"/>
        <w:ind w:firstLine="320"/>
        <w:jc w:val="center"/>
        <w:rPr>
          <w:rFonts w:asciiTheme="minorEastAsia" w:hAnsiTheme="minorEastAsia"/>
          <w:b/>
          <w:spacing w:val="80"/>
          <w:sz w:val="48"/>
          <w:szCs w:val="48"/>
        </w:rPr>
      </w:pPr>
      <w:r>
        <w:rPr>
          <w:rFonts w:hint="eastAsia" w:asciiTheme="minorEastAsia" w:hAnsiTheme="minorEastAsia"/>
          <w:b/>
          <w:spacing w:val="80"/>
          <w:sz w:val="48"/>
          <w:szCs w:val="48"/>
        </w:rPr>
        <w:t>企业自行监测方案</w:t>
      </w: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36"/>
          <w:szCs w:val="48"/>
        </w:rPr>
      </w:pPr>
      <w:r>
        <w:rPr>
          <w:rFonts w:hint="eastAsia" w:asciiTheme="minorEastAsia" w:hAnsiTheme="minorEastAsia"/>
          <w:b/>
          <w:spacing w:val="40"/>
          <w:sz w:val="36"/>
          <w:szCs w:val="48"/>
        </w:rPr>
        <w:t>张家界锣鼓塔污水处理有限公司</w:t>
      </w:r>
    </w:p>
    <w:p>
      <w:pPr>
        <w:spacing w:line="700" w:lineRule="exact"/>
        <w:jc w:val="center"/>
        <w:rPr>
          <w:rFonts w:asciiTheme="minorEastAsia" w:hAnsiTheme="minorEastAsia"/>
          <w:b/>
          <w:spacing w:val="40"/>
          <w:sz w:val="36"/>
          <w:szCs w:val="48"/>
        </w:rPr>
      </w:pPr>
      <w:r>
        <w:rPr>
          <w:rFonts w:asciiTheme="minorEastAsia" w:hAnsiTheme="minorEastAsia"/>
          <w:b/>
          <w:spacing w:val="40"/>
          <w:sz w:val="36"/>
          <w:szCs w:val="48"/>
        </w:rPr>
        <w:t>二O</w:t>
      </w:r>
      <w:r>
        <w:rPr>
          <w:rFonts w:hint="eastAsia" w:asciiTheme="minorEastAsia" w:hAnsiTheme="minorEastAsia"/>
          <w:b/>
          <w:spacing w:val="40"/>
          <w:sz w:val="36"/>
          <w:szCs w:val="48"/>
        </w:rPr>
        <w:t>二</w:t>
      </w:r>
      <w:r>
        <w:rPr>
          <w:rFonts w:hint="eastAsia" w:asciiTheme="minorEastAsia" w:hAnsiTheme="minorEastAsia"/>
          <w:b/>
          <w:spacing w:val="40"/>
          <w:sz w:val="36"/>
          <w:szCs w:val="48"/>
          <w:lang w:val="en-US" w:eastAsia="zh-CN"/>
        </w:rPr>
        <w:t>四</w:t>
      </w:r>
      <w:r>
        <w:rPr>
          <w:rFonts w:asciiTheme="minorEastAsia" w:hAnsiTheme="minorEastAsia"/>
          <w:b/>
          <w:spacing w:val="40"/>
          <w:sz w:val="36"/>
          <w:szCs w:val="48"/>
        </w:rPr>
        <w:t>年</w:t>
      </w:r>
      <w:r>
        <w:rPr>
          <w:rFonts w:hint="eastAsia" w:asciiTheme="minorEastAsia" w:hAnsiTheme="minorEastAsia"/>
          <w:b/>
          <w:spacing w:val="40"/>
          <w:sz w:val="36"/>
          <w:szCs w:val="48"/>
        </w:rPr>
        <w:t>一</w:t>
      </w:r>
      <w:r>
        <w:rPr>
          <w:rFonts w:asciiTheme="minorEastAsia" w:hAnsiTheme="minorEastAsia"/>
          <w:b/>
          <w:sz w:val="36"/>
          <w:szCs w:val="48"/>
        </w:rPr>
        <w:t>月</w:t>
      </w:r>
      <w:r>
        <w:rPr>
          <w:rFonts w:hint="eastAsia" w:asciiTheme="minorEastAsia" w:hAnsiTheme="minorEastAsia"/>
          <w:b/>
          <w:sz w:val="36"/>
          <w:szCs w:val="48"/>
        </w:rPr>
        <w:t>一日</w:t>
      </w:r>
    </w:p>
    <w:p/>
    <w:p/>
    <w:p/>
    <w:p/>
    <w:p/>
    <w:p/>
    <w:p/>
    <w:p/>
    <w:p/>
    <w:p/>
    <w:p>
      <w:pPr>
        <w:pStyle w:val="2"/>
        <w:spacing w:before="0" w:after="0"/>
        <w:rPr>
          <w:rFonts w:ascii="宋体" w:hAnsi="宋体"/>
          <w:sz w:val="28"/>
          <w:szCs w:val="28"/>
        </w:rPr>
      </w:pPr>
      <w:r>
        <w:rPr>
          <w:rFonts w:hint="eastAsia" w:ascii="宋体" w:hAnsi="宋体"/>
          <w:sz w:val="28"/>
          <w:szCs w:val="28"/>
        </w:rPr>
        <w:t>一、企业基本情况</w:t>
      </w:r>
    </w:p>
    <w:p>
      <w:pPr>
        <w:ind w:firstLine="560"/>
        <w:rPr>
          <w:rFonts w:ascii="新宋体" w:hAnsi="新宋体" w:eastAsia="新宋体"/>
          <w:sz w:val="28"/>
          <w:szCs w:val="28"/>
        </w:rPr>
      </w:pPr>
      <w:bookmarkStart w:id="0" w:name="_Toc438972320"/>
      <w:bookmarkStart w:id="1" w:name="_Toc16803"/>
      <w:r>
        <w:rPr>
          <w:rFonts w:hint="eastAsia" w:ascii="新宋体" w:hAnsi="新宋体" w:eastAsia="新宋体"/>
          <w:sz w:val="28"/>
          <w:szCs w:val="28"/>
        </w:rPr>
        <w:t>张家界锣鼓塔污水处理厂位于张家界国家森林公园金鞭溪的上游，在夫妻岩下，距公园大门120m左右</w:t>
      </w:r>
      <w:r>
        <w:rPr>
          <w:rFonts w:hint="eastAsia" w:ascii="新宋体" w:hAnsi="新宋体" w:eastAsia="新宋体"/>
          <w:color w:val="000000"/>
          <w:sz w:val="28"/>
          <w:szCs w:val="28"/>
        </w:rPr>
        <w:t>。厂区东面为金鞭溪</w:t>
      </w:r>
      <w:r>
        <w:rPr>
          <w:rFonts w:ascii="新宋体" w:hAnsi="新宋体" w:eastAsia="新宋体"/>
          <w:color w:val="000000"/>
          <w:sz w:val="28"/>
          <w:szCs w:val="28"/>
        </w:rPr>
        <w:t>，</w:t>
      </w:r>
      <w:r>
        <w:rPr>
          <w:rFonts w:hint="eastAsia" w:ascii="新宋体" w:hAnsi="新宋体" w:eastAsia="新宋体"/>
          <w:color w:val="000000"/>
          <w:sz w:val="28"/>
          <w:szCs w:val="28"/>
        </w:rPr>
        <w:t>北面门票站，厂界外500米范围内无居民住户</w:t>
      </w:r>
      <w:r>
        <w:rPr>
          <w:rFonts w:hint="eastAsia" w:ascii="新宋体" w:hAnsi="新宋体" w:eastAsia="新宋体"/>
          <w:sz w:val="28"/>
          <w:szCs w:val="28"/>
        </w:rPr>
        <w:t>。整个厂区的平面布置及自行监测图见附图1。</w:t>
      </w:r>
    </w:p>
    <w:tbl>
      <w:tblPr>
        <w:tblStyle w:val="23"/>
        <w:tblW w:w="91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6" w:type="dxa"/>
          <w:left w:w="108" w:type="dxa"/>
          <w:bottom w:w="6" w:type="dxa"/>
          <w:right w:w="108" w:type="dxa"/>
        </w:tblCellMar>
      </w:tblPr>
      <w:tblGrid>
        <w:gridCol w:w="558"/>
        <w:gridCol w:w="1790"/>
        <w:gridCol w:w="2057"/>
        <w:gridCol w:w="1440"/>
        <w:gridCol w:w="33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rPr>
                <w:rFonts w:ascii="宋体" w:hAnsi="宋体"/>
                <w:b/>
                <w:color w:val="000000"/>
                <w:szCs w:val="28"/>
              </w:rPr>
            </w:pPr>
            <w:r>
              <w:rPr>
                <w:rFonts w:ascii="宋体" w:hAnsi="宋体"/>
                <w:b/>
                <w:color w:val="000000"/>
                <w:szCs w:val="28"/>
              </w:rPr>
              <w:t>序号</w:t>
            </w:r>
          </w:p>
        </w:tc>
        <w:tc>
          <w:tcPr>
            <w:tcW w:w="1790" w:type="dxa"/>
            <w:tcBorders>
              <w:top w:val="single" w:color="auto" w:sz="4" w:space="0"/>
              <w:left w:val="single" w:color="auto" w:sz="4" w:space="0"/>
              <w:bottom w:val="single" w:color="auto" w:sz="4" w:space="0"/>
              <w:right w:val="single" w:color="auto" w:sz="4" w:space="0"/>
            </w:tcBorders>
            <w:vAlign w:val="center"/>
          </w:tcPr>
          <w:p>
            <w:pPr>
              <w:ind w:firstLine="442"/>
              <w:jc w:val="center"/>
              <w:rPr>
                <w:rFonts w:ascii="宋体" w:hAnsi="宋体"/>
                <w:b/>
                <w:color w:val="000000"/>
                <w:szCs w:val="28"/>
              </w:rPr>
            </w:pPr>
            <w:r>
              <w:rPr>
                <w:rFonts w:ascii="宋体" w:hAnsi="宋体"/>
                <w:b/>
                <w:color w:val="000000"/>
                <w:szCs w:val="28"/>
              </w:rPr>
              <w:t>类别</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ind w:firstLine="422"/>
              <w:textAlignment w:val="auto"/>
              <w:rPr>
                <w:rFonts w:ascii="宋体" w:hAnsi="宋体" w:eastAsia="宋体"/>
                <w:b/>
                <w:color w:val="000000"/>
                <w:kern w:val="2"/>
                <w:sz w:val="22"/>
                <w:szCs w:val="28"/>
              </w:rPr>
            </w:pPr>
            <w:r>
              <w:rPr>
                <w:rFonts w:ascii="宋体" w:hAnsi="宋体" w:eastAsia="宋体"/>
                <w:b/>
                <w:color w:val="000000"/>
                <w:kern w:val="2"/>
                <w:sz w:val="22"/>
                <w:szCs w:val="28"/>
              </w:rPr>
              <w:t>基本情况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szCs w:val="28"/>
              </w:rPr>
            </w:pP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企业名称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张家界锣鼓塔污水处理有限公司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hint="eastAsia" w:ascii="宋体" w:hAnsi="宋体"/>
                <w:color w:val="000000"/>
                <w:szCs w:val="28"/>
              </w:rPr>
              <w:t>2</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行业名称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污水</w:t>
            </w:r>
            <w:r>
              <w:rPr>
                <w:rFonts w:ascii="宋体" w:hAnsi="宋体"/>
                <w:color w:val="000000"/>
                <w:szCs w:val="28"/>
              </w:rPr>
              <w:t>处理及再生利用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3</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hint="default" w:ascii="宋体" w:eastAsia="宋体"/>
                <w:color w:val="000000"/>
                <w:kern w:val="2"/>
                <w:sz w:val="22"/>
                <w:szCs w:val="28"/>
              </w:rPr>
              <w:t>建设地点</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张家界国家森林公园锣鼓塔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4</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环保机构负责人</w:t>
            </w:r>
          </w:p>
        </w:tc>
        <w:tc>
          <w:tcPr>
            <w:tcW w:w="205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裴广峰</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 xml:space="preserve">联系方式 </w:t>
            </w:r>
          </w:p>
        </w:tc>
        <w:tc>
          <w:tcPr>
            <w:tcW w:w="3307" w:type="dxa"/>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color w:val="000000"/>
                <w:szCs w:val="28"/>
              </w:rPr>
            </w:pPr>
            <w:r>
              <w:rPr>
                <w:rFonts w:hint="eastAsia" w:ascii="宋体" w:hAnsi="宋体"/>
                <w:color w:val="000000"/>
                <w:szCs w:val="28"/>
              </w:rPr>
              <w:t>0744-5712585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6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5</w:t>
            </w:r>
          </w:p>
        </w:tc>
        <w:tc>
          <w:tcPr>
            <w:tcW w:w="1790" w:type="dxa"/>
            <w:tcBorders>
              <w:top w:val="single" w:color="auto" w:sz="4" w:space="0"/>
              <w:left w:val="single" w:color="auto" w:sz="4" w:space="0"/>
              <w:bottom w:val="single" w:color="auto" w:sz="4" w:space="0"/>
              <w:right w:val="single" w:color="auto" w:sz="4" w:space="0"/>
            </w:tcBorders>
            <w:vAlign w:val="center"/>
          </w:tcPr>
          <w:p>
            <w:pPr>
              <w:ind w:right="-105" w:rightChars="-50"/>
              <w:rPr>
                <w:rFonts w:ascii="宋体" w:hAnsi="宋体"/>
                <w:color w:val="000000"/>
                <w:szCs w:val="28"/>
              </w:rPr>
            </w:pPr>
            <w:r>
              <w:rPr>
                <w:rFonts w:hint="eastAsia" w:ascii="宋体" w:hAnsi="宋体"/>
                <w:color w:val="000000"/>
                <w:szCs w:val="28"/>
              </w:rPr>
              <w:t>产品设计</w:t>
            </w:r>
            <w:r>
              <w:rPr>
                <w:rFonts w:ascii="宋体" w:hAnsi="宋体"/>
                <w:color w:val="000000"/>
                <w:szCs w:val="28"/>
              </w:rPr>
              <w:t>规模</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设计为</w:t>
            </w:r>
            <w:r>
              <w:rPr>
                <w:rFonts w:ascii="宋体" w:hAnsi="宋体"/>
                <w:color w:val="000000"/>
                <w:szCs w:val="28"/>
              </w:rPr>
              <w:t>3</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6</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实际产能</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日处理量为</w:t>
            </w:r>
            <w:r>
              <w:rPr>
                <w:rFonts w:ascii="宋体" w:hAnsi="宋体"/>
                <w:color w:val="000000"/>
                <w:szCs w:val="28"/>
              </w:rPr>
              <w:t>2</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7</w:t>
            </w:r>
          </w:p>
        </w:tc>
        <w:tc>
          <w:tcPr>
            <w:tcW w:w="179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环评情况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8"/>
              </w:rPr>
            </w:pPr>
            <w:r>
              <w:rPr>
                <w:rFonts w:hint="eastAsia" w:ascii="宋体" w:hAnsi="宋体"/>
                <w:szCs w:val="28"/>
              </w:rPr>
              <w:t>湘环评﹝2001﹞102号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3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8</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ascii="宋体" w:hAnsi="宋体" w:eastAsia="宋体"/>
                <w:color w:val="000000"/>
                <w:kern w:val="2"/>
                <w:sz w:val="22"/>
                <w:szCs w:val="28"/>
              </w:rPr>
              <w:t>工程投资情况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总投资：</w:t>
            </w:r>
            <w:r>
              <w:rPr>
                <w:rFonts w:hint="eastAsia" w:ascii="宋体" w:hAnsi="宋体"/>
                <w:szCs w:val="28"/>
              </w:rPr>
              <w:t>6788.87</w:t>
            </w:r>
            <w:r>
              <w:rPr>
                <w:rFonts w:ascii="宋体" w:hAnsi="宋体"/>
                <w:szCs w:val="28"/>
              </w:rPr>
              <w:t>万元</w:t>
            </w:r>
            <w:r>
              <w:rPr>
                <w:rFonts w:hint="eastAsia" w:ascii="宋体" w:hAnsi="宋体"/>
                <w:color w:val="000000"/>
                <w:szCs w:val="28"/>
              </w:rPr>
              <w:t>，环保投资：</w:t>
            </w:r>
            <w:r>
              <w:rPr>
                <w:rFonts w:hint="eastAsia" w:ascii="宋体" w:hAnsi="宋体"/>
                <w:szCs w:val="28"/>
              </w:rPr>
              <w:t>6188.87万元，占总投资的91.2 %。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5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ascii="宋体" w:hAnsi="宋体"/>
                <w:color w:val="000000"/>
                <w:szCs w:val="28"/>
              </w:rPr>
              <w:t>9</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firstLine="440"/>
              <w:jc w:val="left"/>
              <w:rPr>
                <w:rFonts w:hint="default" w:ascii="宋体" w:eastAsia="宋体"/>
                <w:color w:val="000000"/>
                <w:kern w:val="2"/>
                <w:sz w:val="22"/>
                <w:szCs w:val="28"/>
              </w:rPr>
            </w:pPr>
            <w:r>
              <w:rPr>
                <w:rFonts w:ascii="宋体" w:eastAsia="宋体"/>
                <w:color w:val="000000"/>
                <w:kern w:val="2"/>
                <w:sz w:val="22"/>
                <w:szCs w:val="28"/>
              </w:rPr>
              <w:t>时间</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2005年12月竣工.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2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0</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kern w:val="2"/>
                <w:sz w:val="22"/>
                <w:szCs w:val="28"/>
              </w:rPr>
            </w:pPr>
            <w:r>
              <w:rPr>
                <w:rFonts w:ascii="宋体" w:eastAsia="宋体"/>
                <w:kern w:val="2"/>
                <w:sz w:val="22"/>
                <w:szCs w:val="28"/>
              </w:rPr>
              <w:t>年平均工作时</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8760小时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hint="eastAsia" w:ascii="宋体" w:hAnsi="宋体" w:eastAsia="宋体"/>
                <w:color w:val="000000"/>
                <w:kern w:val="2"/>
                <w:sz w:val="22"/>
                <w:szCs w:val="28"/>
              </w:rPr>
              <w:t>占地面积</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color w:val="000000"/>
                <w:szCs w:val="28"/>
              </w:rPr>
              <w:t>占</w:t>
            </w:r>
            <w:r>
              <w:rPr>
                <w:rFonts w:hint="eastAsia" w:ascii="宋体" w:hAnsi="宋体"/>
                <w:szCs w:val="28"/>
              </w:rPr>
              <w:t>地面积27469.2</w:t>
            </w:r>
            <w:r>
              <w:rPr>
                <w:rFonts w:ascii="宋体" w:hAnsi="宋体"/>
                <w:szCs w:val="28"/>
              </w:rPr>
              <w:t>m</w:t>
            </w:r>
            <w:r>
              <w:rPr>
                <w:rFonts w:ascii="宋体" w:hAnsi="宋体"/>
                <w:szCs w:val="28"/>
                <w:vertAlign w:val="superscript"/>
              </w:rPr>
              <w:t>2</w:t>
            </w:r>
            <w:r>
              <w:rPr>
                <w:rFonts w:ascii="宋体" w:hAnsi="宋体"/>
                <w:szCs w:val="28"/>
              </w:rPr>
              <w:t>，</w:t>
            </w:r>
            <w:r>
              <w:rPr>
                <w:rFonts w:hint="eastAsia" w:ascii="宋体" w:hAnsi="宋体"/>
                <w:szCs w:val="28"/>
              </w:rPr>
              <w:t>其中建筑占地面积9883</w:t>
            </w:r>
            <w:r>
              <w:rPr>
                <w:rFonts w:ascii="宋体" w:hAnsi="宋体"/>
                <w:szCs w:val="28"/>
              </w:rPr>
              <w:t>m</w:t>
            </w:r>
            <w:r>
              <w:rPr>
                <w:rFonts w:ascii="宋体" w:hAnsi="宋体"/>
                <w:szCs w:val="28"/>
                <w:vertAlign w:val="superscript"/>
              </w:rPr>
              <w:t>2</w:t>
            </w:r>
            <w:r>
              <w:rPr>
                <w:rFonts w:ascii="宋体" w:hAnsi="宋体"/>
                <w:szCs w:val="28"/>
              </w:rPr>
              <w:t>。</w:t>
            </w:r>
          </w:p>
        </w:tc>
      </w:tr>
      <w:bookmarkEnd w:id="0"/>
      <w:bookmarkEnd w:id="1"/>
    </w:tbl>
    <w:p>
      <w:pPr>
        <w:spacing w:line="560" w:lineRule="exact"/>
        <w:rPr>
          <w:rFonts w:ascii="宋体" w:hAnsi="宋体" w:cs="宋体"/>
          <w:sz w:val="28"/>
          <w:szCs w:val="28"/>
        </w:rPr>
      </w:pPr>
    </w:p>
    <w:p>
      <w:pPr>
        <w:pStyle w:val="3"/>
        <w:spacing w:before="0" w:after="0" w:line="560" w:lineRule="exact"/>
        <w:rPr>
          <w:rFonts w:ascii="宋体" w:hAnsi="宋体" w:eastAsia="宋体"/>
          <w:sz w:val="28"/>
          <w:szCs w:val="28"/>
        </w:rPr>
      </w:pPr>
      <w:bookmarkStart w:id="2" w:name="_Toc120273680"/>
      <w:bookmarkStart w:id="3" w:name="_Toc438972321"/>
      <w:bookmarkStart w:id="4" w:name="_Toc17675"/>
      <w:r>
        <w:rPr>
          <w:rFonts w:hint="eastAsia" w:ascii="宋体" w:hAnsi="宋体" w:eastAsia="宋体"/>
          <w:sz w:val="28"/>
          <w:szCs w:val="28"/>
        </w:rPr>
        <w:t>1企业生产工艺介绍</w:t>
      </w:r>
      <w:bookmarkEnd w:id="2"/>
    </w:p>
    <w:bookmarkEnd w:id="3"/>
    <w:bookmarkEnd w:id="4"/>
    <w:p>
      <w:pPr>
        <w:rPr>
          <w:rFonts w:hAnsi="宋体"/>
          <w:color w:val="FF0000"/>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1</w:t>
      </w:r>
      <w:r>
        <w:rPr>
          <w:rFonts w:hAnsi="宋体"/>
          <w:sz w:val="28"/>
          <w:szCs w:val="28"/>
        </w:rPr>
        <w:t>本公司</w:t>
      </w:r>
      <w:r>
        <w:rPr>
          <w:rFonts w:hint="eastAsia" w:hAnsi="宋体"/>
          <w:sz w:val="28"/>
          <w:szCs w:val="28"/>
        </w:rPr>
        <w:t>生产</w:t>
      </w:r>
      <w:r>
        <w:rPr>
          <w:rFonts w:hAnsi="宋体"/>
          <w:sz w:val="28"/>
          <w:szCs w:val="28"/>
        </w:rPr>
        <w:t>工艺</w:t>
      </w:r>
      <w:r>
        <w:rPr>
          <w:rFonts w:hint="eastAsia" w:hAnsi="宋体"/>
          <w:sz w:val="28"/>
          <w:szCs w:val="28"/>
        </w:rPr>
        <w:t>及</w:t>
      </w:r>
      <w:r>
        <w:rPr>
          <w:rFonts w:hAnsi="宋体"/>
          <w:sz w:val="28"/>
          <w:szCs w:val="28"/>
        </w:rPr>
        <w:t>产排污</w:t>
      </w:r>
      <w:r>
        <w:rPr>
          <w:rFonts w:hint="eastAsia" w:hAnsi="宋体"/>
          <w:sz w:val="28"/>
          <w:szCs w:val="28"/>
        </w:rPr>
        <w:t>流程图</w:t>
      </w:r>
    </w:p>
    <w:p>
      <w:pPr>
        <w:ind w:firstLine="440"/>
        <w:jc w:val="center"/>
        <w:rPr>
          <w:rFonts w:ascii="宋体" w:hAnsi="宋体"/>
          <w:sz w:val="28"/>
          <w:szCs w:val="28"/>
        </w:rPr>
      </w:pPr>
      <w:r>
        <w:drawing>
          <wp:inline distT="0" distB="0" distL="0" distR="0">
            <wp:extent cx="5361940" cy="2223770"/>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30510" cy="2252233"/>
                    </a:xfrm>
                    <a:prstGeom prst="rect">
                      <a:avLst/>
                    </a:prstGeom>
                    <a:ln w="3175">
                      <a:solidFill>
                        <a:schemeClr val="tx1"/>
                      </a:solidFill>
                    </a:ln>
                  </pic:spPr>
                </pic:pic>
              </a:graphicData>
            </a:graphic>
          </wp:inline>
        </w:drawing>
      </w:r>
    </w:p>
    <w:p>
      <w:pPr>
        <w:ind w:firstLine="440"/>
        <w:jc w:val="center"/>
        <w:rPr>
          <w:b/>
          <w:sz w:val="28"/>
          <w:szCs w:val="28"/>
        </w:rPr>
      </w:pPr>
      <w:r>
        <w:rPr>
          <w:rFonts w:hint="eastAsia" w:ascii="宋体" w:hAnsi="宋体"/>
          <w:sz w:val="28"/>
          <w:szCs w:val="28"/>
        </w:rPr>
        <w:t>.</w:t>
      </w:r>
      <w:r>
        <w:rPr>
          <w:rFonts w:hint="eastAsia"/>
          <w:b/>
          <w:sz w:val="28"/>
          <w:szCs w:val="28"/>
        </w:rPr>
        <w:t>图1-1   生产工艺流程图</w:t>
      </w:r>
    </w:p>
    <w:p>
      <w:pPr>
        <w:pStyle w:val="2"/>
        <w:spacing w:before="0" w:after="0" w:line="560" w:lineRule="exact"/>
        <w:rPr>
          <w:rFonts w:ascii="宋体" w:hAnsi="宋体"/>
          <w:sz w:val="28"/>
          <w:szCs w:val="28"/>
        </w:rPr>
      </w:pPr>
      <w:bookmarkStart w:id="5" w:name="_Toc120273682"/>
      <w:r>
        <w:rPr>
          <w:rFonts w:hint="eastAsia" w:ascii="宋体" w:hAnsi="宋体"/>
          <w:sz w:val="28"/>
          <w:szCs w:val="28"/>
        </w:rPr>
        <w:t>二、监测依据</w:t>
      </w:r>
      <w:bookmarkEnd w:id="5"/>
    </w:p>
    <w:p>
      <w:pPr>
        <w:pStyle w:val="60"/>
        <w:numPr>
          <w:ilvl w:val="0"/>
          <w:numId w:val="2"/>
        </w:numPr>
        <w:spacing w:line="360" w:lineRule="auto"/>
        <w:rPr>
          <w:sz w:val="28"/>
          <w:szCs w:val="28"/>
        </w:rPr>
      </w:pPr>
      <w:r>
        <w:rPr>
          <w:rFonts w:hint="eastAsia"/>
          <w:sz w:val="28"/>
          <w:szCs w:val="28"/>
        </w:rPr>
        <w:t>《排污许可管理条例》；</w:t>
      </w:r>
    </w:p>
    <w:p>
      <w:pPr>
        <w:pStyle w:val="60"/>
        <w:numPr>
          <w:ilvl w:val="0"/>
          <w:numId w:val="2"/>
        </w:numPr>
        <w:spacing w:line="360" w:lineRule="auto"/>
        <w:ind w:left="0" w:firstLine="280" w:firstLineChars="100"/>
        <w:rPr>
          <w:sz w:val="28"/>
          <w:szCs w:val="28"/>
        </w:rPr>
      </w:pPr>
      <w:r>
        <w:rPr>
          <w:rFonts w:hint="eastAsia" w:hAnsi="宋体"/>
          <w:sz w:val="28"/>
          <w:szCs w:val="28"/>
        </w:rPr>
        <w:t>《排污单位自行监测技术指南总则》（</w:t>
      </w:r>
      <w:r>
        <w:rPr>
          <w:sz w:val="28"/>
          <w:szCs w:val="28"/>
        </w:rPr>
        <w:t>HJ 819-201</w:t>
      </w:r>
      <w:r>
        <w:rPr>
          <w:rFonts w:hint="eastAsia"/>
          <w:sz w:val="28"/>
          <w:szCs w:val="28"/>
        </w:rPr>
        <w:t>7</w:t>
      </w:r>
      <w:r>
        <w:rPr>
          <w:rFonts w:hint="eastAsia" w:hAnsi="宋体"/>
          <w:sz w:val="28"/>
          <w:szCs w:val="28"/>
        </w:rPr>
        <w:t>）；</w:t>
      </w:r>
    </w:p>
    <w:p>
      <w:pPr>
        <w:pStyle w:val="60"/>
        <w:numPr>
          <w:ilvl w:val="0"/>
          <w:numId w:val="2"/>
        </w:numPr>
        <w:spacing w:line="360" w:lineRule="auto"/>
        <w:rPr>
          <w:sz w:val="28"/>
          <w:szCs w:val="28"/>
        </w:rPr>
      </w:pPr>
      <w:r>
        <w:rPr>
          <w:rFonts w:hint="eastAsia"/>
          <w:sz w:val="28"/>
          <w:szCs w:val="28"/>
        </w:rPr>
        <w:t>《排污许可证申请与核发技术规范 水处理（试行）》（HJ 978-2018）；</w:t>
      </w:r>
    </w:p>
    <w:p>
      <w:pPr>
        <w:pStyle w:val="60"/>
        <w:numPr>
          <w:ilvl w:val="0"/>
          <w:numId w:val="2"/>
        </w:numPr>
        <w:spacing w:line="360" w:lineRule="auto"/>
        <w:rPr>
          <w:sz w:val="28"/>
          <w:szCs w:val="28"/>
        </w:rPr>
      </w:pPr>
      <w:r>
        <w:rPr>
          <w:rFonts w:hint="eastAsia"/>
          <w:sz w:val="28"/>
          <w:szCs w:val="28"/>
        </w:rPr>
        <w:t>《排污单位自行监测技术指南 水处理》（HJ 1083—2020）；</w:t>
      </w:r>
    </w:p>
    <w:p>
      <w:pPr>
        <w:pStyle w:val="60"/>
        <w:numPr>
          <w:ilvl w:val="0"/>
          <w:numId w:val="2"/>
        </w:numPr>
        <w:spacing w:line="360" w:lineRule="auto"/>
        <w:rPr>
          <w:sz w:val="28"/>
          <w:szCs w:val="28"/>
        </w:rPr>
      </w:pPr>
      <w:r>
        <w:rPr>
          <w:rFonts w:hint="eastAsia"/>
          <w:sz w:val="28"/>
          <w:szCs w:val="28"/>
        </w:rPr>
        <w:t>《城镇污水处理厂污染物排放标准》（GB 18918-2002）；</w:t>
      </w:r>
    </w:p>
    <w:p>
      <w:pPr>
        <w:pStyle w:val="3"/>
        <w:spacing w:line="360" w:lineRule="auto"/>
        <w:ind w:left="210" w:leftChars="100"/>
        <w:rPr>
          <w:rFonts w:ascii="宋体" w:hAnsi="宋体" w:eastAsia="宋体"/>
          <w:sz w:val="28"/>
          <w:szCs w:val="28"/>
        </w:rPr>
      </w:pPr>
      <w:r>
        <w:rPr>
          <w:rFonts w:hint="eastAsia" w:ascii="宋体" w:hAnsi="宋体" w:eastAsia="宋体"/>
          <w:sz w:val="28"/>
          <w:szCs w:val="28"/>
        </w:rPr>
        <w:t>三、执行排放</w:t>
      </w:r>
      <w:r>
        <w:rPr>
          <w:rFonts w:ascii="宋体" w:hAnsi="宋体" w:eastAsia="宋体"/>
          <w:sz w:val="28"/>
          <w:szCs w:val="28"/>
        </w:rPr>
        <w:t>标准</w:t>
      </w:r>
      <w:bookmarkStart w:id="6" w:name="_Toc120273686"/>
      <w:r>
        <w:rPr>
          <w:rFonts w:ascii="宋体" w:hAnsi="宋体" w:eastAsia="宋体"/>
          <w:sz w:val="28"/>
          <w:szCs w:val="28"/>
        </w:rPr>
        <w:t>及限值</w:t>
      </w:r>
    </w:p>
    <w:bookmarkEnd w:id="6"/>
    <w:p>
      <w:pPr>
        <w:spacing w:line="384" w:lineRule="auto"/>
        <w:ind w:firstLine="480"/>
        <w:jc w:val="center"/>
        <w:rPr>
          <w:rFonts w:asciiTheme="minorEastAsia" w:hAnsiTheme="minorEastAsia"/>
          <w:color w:val="000000"/>
          <w:sz w:val="24"/>
          <w:szCs w:val="24"/>
        </w:rPr>
      </w:pPr>
      <w:r>
        <w:rPr>
          <w:rFonts w:hint="eastAsia" w:asciiTheme="minorEastAsia" w:hAnsiTheme="minorEastAsia"/>
          <w:bCs/>
          <w:color w:val="000000"/>
          <w:sz w:val="24"/>
          <w:szCs w:val="24"/>
        </w:rPr>
        <w:t>表3-1废</w:t>
      </w:r>
      <w:r>
        <w:rPr>
          <w:rFonts w:asciiTheme="minorEastAsia" w:hAnsiTheme="minorEastAsia"/>
          <w:bCs/>
          <w:color w:val="000000"/>
          <w:sz w:val="24"/>
          <w:szCs w:val="24"/>
        </w:rPr>
        <w:t>水</w:t>
      </w:r>
      <w:r>
        <w:rPr>
          <w:rFonts w:hint="eastAsia" w:asciiTheme="minorEastAsia" w:hAnsiTheme="minorEastAsia"/>
          <w:bCs/>
          <w:color w:val="000000"/>
          <w:sz w:val="24"/>
          <w:szCs w:val="24"/>
        </w:rPr>
        <w:t>评价</w:t>
      </w:r>
      <w:r>
        <w:rPr>
          <w:rFonts w:asciiTheme="minorEastAsia" w:hAnsiTheme="minorEastAsia"/>
          <w:bCs/>
          <w:color w:val="000000"/>
          <w:sz w:val="24"/>
          <w:szCs w:val="24"/>
        </w:rPr>
        <w:t>标准</w:t>
      </w:r>
      <w:r>
        <w:rPr>
          <w:rFonts w:asciiTheme="minorEastAsia" w:hAnsiTheme="minorEastAsia"/>
          <w:color w:val="000000"/>
          <w:sz w:val="24"/>
          <w:szCs w:val="24"/>
        </w:rPr>
        <w:t>单位：mg/L(pH除外)</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1280"/>
        <w:gridCol w:w="2160"/>
        <w:gridCol w:w="1588"/>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tcBorders>
              <w:right w:val="single" w:color="auto" w:sz="4" w:space="0"/>
            </w:tcBorders>
            <w:vAlign w:val="center"/>
          </w:tcPr>
          <w:p>
            <w:pPr>
              <w:spacing w:before="62" w:beforeLines="20" w:after="62" w:afterLines="20"/>
              <w:rPr>
                <w:rFonts w:ascii="新宋体" w:hAnsi="新宋体" w:eastAsia="新宋体"/>
                <w:b/>
                <w:color w:val="000000"/>
                <w:sz w:val="20"/>
                <w:szCs w:val="28"/>
              </w:rPr>
            </w:pPr>
            <w:r>
              <w:rPr>
                <w:rFonts w:hint="eastAsia" w:ascii="新宋体" w:hAnsi="新宋体" w:eastAsia="新宋体"/>
                <w:b/>
                <w:color w:val="000000"/>
                <w:sz w:val="20"/>
                <w:szCs w:val="28"/>
              </w:rPr>
              <w:t>水质类别</w:t>
            </w:r>
          </w:p>
        </w:tc>
        <w:tc>
          <w:tcPr>
            <w:tcW w:w="1280" w:type="dxa"/>
            <w:tcBorders>
              <w:left w:val="single" w:color="auto" w:sz="4" w:space="0"/>
            </w:tcBorders>
            <w:vAlign w:val="center"/>
          </w:tcPr>
          <w:p>
            <w:pPr>
              <w:spacing w:before="62" w:beforeLines="20" w:after="62" w:afterLines="20"/>
              <w:rPr>
                <w:rFonts w:ascii="新宋体" w:hAnsi="新宋体" w:eastAsia="新宋体"/>
                <w:b/>
                <w:color w:val="000000"/>
                <w:sz w:val="20"/>
                <w:szCs w:val="28"/>
              </w:rPr>
            </w:pPr>
            <w:r>
              <w:rPr>
                <w:rFonts w:ascii="新宋体" w:hAnsi="新宋体" w:eastAsia="新宋体"/>
                <w:b/>
                <w:color w:val="000000"/>
                <w:sz w:val="20"/>
                <w:szCs w:val="28"/>
              </w:rPr>
              <w:t>监测点位</w:t>
            </w:r>
          </w:p>
        </w:tc>
        <w:tc>
          <w:tcPr>
            <w:tcW w:w="2160" w:type="dxa"/>
            <w:vAlign w:val="center"/>
          </w:tcPr>
          <w:p>
            <w:pPr>
              <w:spacing w:before="62" w:beforeLines="20" w:after="62" w:afterLines="20"/>
              <w:ind w:firstLine="402"/>
              <w:rPr>
                <w:rFonts w:ascii="新宋体" w:hAnsi="新宋体" w:eastAsia="新宋体"/>
                <w:b/>
                <w:color w:val="000000"/>
                <w:sz w:val="20"/>
                <w:szCs w:val="28"/>
              </w:rPr>
            </w:pPr>
            <w:r>
              <w:rPr>
                <w:rFonts w:ascii="新宋体" w:hAnsi="新宋体" w:eastAsia="新宋体"/>
                <w:b/>
                <w:color w:val="000000"/>
                <w:sz w:val="20"/>
                <w:szCs w:val="28"/>
              </w:rPr>
              <w:t>项目</w:t>
            </w:r>
          </w:p>
        </w:tc>
        <w:tc>
          <w:tcPr>
            <w:tcW w:w="1588" w:type="dxa"/>
            <w:vAlign w:val="center"/>
          </w:tcPr>
          <w:p>
            <w:pPr>
              <w:spacing w:before="62" w:beforeLines="20" w:after="62" w:afterLines="20"/>
              <w:ind w:firstLine="180" w:firstLineChars="90"/>
              <w:rPr>
                <w:rFonts w:ascii="新宋体" w:hAnsi="新宋体" w:eastAsia="新宋体"/>
                <w:b/>
                <w:color w:val="000000"/>
                <w:sz w:val="20"/>
                <w:szCs w:val="28"/>
              </w:rPr>
            </w:pPr>
            <w:r>
              <w:rPr>
                <w:rFonts w:ascii="新宋体" w:hAnsi="新宋体" w:eastAsia="新宋体"/>
                <w:b/>
                <w:color w:val="000000"/>
                <w:sz w:val="20"/>
                <w:szCs w:val="28"/>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restart"/>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废水</w:t>
            </w:r>
          </w:p>
        </w:tc>
        <w:tc>
          <w:tcPr>
            <w:tcW w:w="1280" w:type="dxa"/>
            <w:vMerge w:val="restart"/>
            <w:tcBorders>
              <w:left w:val="single" w:color="auto" w:sz="4" w:space="0"/>
            </w:tcBorders>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总排放口</w:t>
            </w: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pH</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6-9</w:t>
            </w:r>
          </w:p>
        </w:tc>
        <w:tc>
          <w:tcPr>
            <w:tcW w:w="2750" w:type="dxa"/>
            <w:vMerge w:val="restart"/>
            <w:vAlign w:val="center"/>
          </w:tcPr>
          <w:p>
            <w:pPr>
              <w:spacing w:before="62" w:beforeLines="20" w:after="62" w:afterLines="20"/>
              <w:ind w:firstLine="440"/>
              <w:jc w:val="center"/>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18918-2002)一</w:t>
            </w:r>
            <w:r>
              <w:rPr>
                <w:color w:val="000000"/>
                <w:szCs w:val="21"/>
              </w:rPr>
              <w:t>级标准</w:t>
            </w:r>
            <w:r>
              <w:rPr>
                <w:rFonts w:hint="eastAsia"/>
                <w:color w:val="000000"/>
                <w:szCs w:val="21"/>
              </w:rPr>
              <w:t>的A标准</w:t>
            </w:r>
          </w:p>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悬浮物</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化学需氧量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ascii="新宋体" w:hAnsi="新宋体" w:eastAsia="新宋体"/>
                <w:color w:val="000000"/>
                <w:sz w:val="20"/>
                <w:szCs w:val="28"/>
              </w:rPr>
              <w:t>五日生化需氧量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动植物油</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石油类</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氨氮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≤5（8）</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阴离子表面活性剂</w:t>
            </w:r>
          </w:p>
        </w:tc>
        <w:tc>
          <w:tcPr>
            <w:tcW w:w="1588" w:type="dxa"/>
            <w:vAlign w:val="center"/>
          </w:tcPr>
          <w:p>
            <w:pPr>
              <w:spacing w:before="62" w:beforeLines="20" w:after="62" w:afterLines="20"/>
              <w:ind w:firstLine="380" w:firstLineChars="190"/>
              <w:rPr>
                <w:rFonts w:ascii="新宋体" w:hAnsi="新宋体" w:eastAsia="新宋体"/>
                <w:color w:val="000000"/>
                <w:sz w:val="20"/>
                <w:szCs w:val="28"/>
              </w:rPr>
            </w:pPr>
            <w:r>
              <w:rPr>
                <w:rFonts w:hint="eastAsia" w:ascii="新宋体" w:hAnsi="新宋体" w:eastAsia="新宋体"/>
                <w:color w:val="000000"/>
                <w:sz w:val="20"/>
                <w:szCs w:val="28"/>
              </w:rPr>
              <w:t>≤0.5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色度</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≤30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b/>
                <w:color w:val="000000"/>
                <w:sz w:val="20"/>
                <w:szCs w:val="28"/>
              </w:rPr>
            </w:pPr>
            <w:r>
              <w:rPr>
                <w:rFonts w:hint="eastAsia" w:ascii="新宋体" w:hAnsi="新宋体" w:eastAsia="新宋体"/>
                <w:color w:val="000000"/>
                <w:sz w:val="20"/>
                <w:szCs w:val="28"/>
              </w:rPr>
              <w:t>粪大肠菌群</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≤1000</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总汞</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总镉</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六价铬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≤0.05</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总铅</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烷基汞</w:t>
            </w:r>
          </w:p>
        </w:tc>
        <w:tc>
          <w:tcPr>
            <w:tcW w:w="1588" w:type="dxa"/>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不得检出</w:t>
            </w:r>
          </w:p>
        </w:tc>
        <w:tc>
          <w:tcPr>
            <w:tcW w:w="2750" w:type="dxa"/>
            <w:vMerge w:val="continue"/>
            <w:vAlign w:val="center"/>
          </w:tcPr>
          <w:p>
            <w:pPr>
              <w:spacing w:before="62" w:beforeLines="20" w:after="62" w:afterLines="20"/>
              <w:ind w:firstLine="440"/>
              <w:jc w:val="center"/>
              <w:rPr>
                <w:color w:val="000000"/>
                <w:szCs w:val="21"/>
              </w:rPr>
            </w:pPr>
          </w:p>
        </w:tc>
      </w:tr>
    </w:tbl>
    <w:p>
      <w:pPr>
        <w:spacing w:line="336" w:lineRule="auto"/>
        <w:rPr>
          <w:sz w:val="24"/>
          <w:szCs w:val="28"/>
        </w:rPr>
      </w:pPr>
      <w:r>
        <w:rPr>
          <w:rFonts w:hint="eastAsia"/>
          <w:szCs w:val="28"/>
        </w:rPr>
        <w:t>备注：</w:t>
      </w:r>
      <w:r>
        <w:rPr>
          <w:szCs w:val="28"/>
        </w:rPr>
        <w:t>括号外数值为水温&gt;12</w:t>
      </w:r>
      <w:r>
        <w:rPr>
          <w:rFonts w:hint="eastAsia" w:ascii="宋体" w:hAnsi="宋体" w:cs="宋体"/>
          <w:szCs w:val="28"/>
        </w:rPr>
        <w:t>℃</w:t>
      </w:r>
      <w:r>
        <w:rPr>
          <w:szCs w:val="28"/>
        </w:rPr>
        <w:t>时的控制指标，括号内数值为水温≤12</w:t>
      </w:r>
      <w:r>
        <w:rPr>
          <w:rFonts w:hint="eastAsia" w:ascii="宋体" w:hAnsi="宋体" w:cs="宋体"/>
          <w:szCs w:val="28"/>
        </w:rPr>
        <w:t>℃</w:t>
      </w:r>
      <w:r>
        <w:rPr>
          <w:szCs w:val="28"/>
        </w:rPr>
        <w:t>时的控制指标</w:t>
      </w:r>
    </w:p>
    <w:p>
      <w:pPr>
        <w:spacing w:line="336" w:lineRule="auto"/>
        <w:ind w:firstLine="480"/>
        <w:jc w:val="center"/>
        <w:rPr>
          <w:sz w:val="24"/>
          <w:szCs w:val="28"/>
        </w:rPr>
      </w:pPr>
      <w:r>
        <w:rPr>
          <w:bCs/>
          <w:color w:val="000000"/>
          <w:sz w:val="24"/>
          <w:szCs w:val="28"/>
        </w:rPr>
        <w:t>表</w:t>
      </w:r>
      <w:r>
        <w:rPr>
          <w:rFonts w:hint="eastAsia"/>
          <w:bCs/>
          <w:color w:val="000000"/>
          <w:sz w:val="24"/>
          <w:szCs w:val="28"/>
        </w:rPr>
        <w:t>3</w:t>
      </w:r>
      <w:r>
        <w:rPr>
          <w:bCs/>
          <w:color w:val="000000"/>
          <w:sz w:val="24"/>
          <w:szCs w:val="28"/>
        </w:rPr>
        <w:t>-</w:t>
      </w:r>
      <w:r>
        <w:rPr>
          <w:rFonts w:hint="eastAsia"/>
          <w:bCs/>
          <w:color w:val="000000"/>
          <w:sz w:val="24"/>
          <w:szCs w:val="28"/>
        </w:rPr>
        <w:t>2废气评价</w:t>
      </w:r>
      <w:r>
        <w:rPr>
          <w:bCs/>
          <w:color w:val="000000"/>
          <w:sz w:val="24"/>
          <w:szCs w:val="28"/>
        </w:rPr>
        <w:t>标准</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2268"/>
        <w:gridCol w:w="1417"/>
        <w:gridCol w:w="1343"/>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1169" w:type="dxa"/>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b/>
                <w:color w:val="000000"/>
                <w:szCs w:val="20"/>
              </w:rPr>
              <w:t>类别</w:t>
            </w:r>
          </w:p>
        </w:tc>
        <w:tc>
          <w:tcPr>
            <w:tcW w:w="2268" w:type="dxa"/>
            <w:tcBorders>
              <w:left w:val="single" w:color="auto" w:sz="4" w:space="0"/>
            </w:tcBorders>
            <w:vAlign w:val="center"/>
          </w:tcPr>
          <w:p>
            <w:pPr>
              <w:spacing w:before="62" w:beforeLines="20" w:after="62" w:afterLines="20"/>
              <w:rPr>
                <w:rFonts w:ascii="新宋体" w:hAnsi="新宋体" w:eastAsia="新宋体"/>
                <w:b/>
                <w:color w:val="000000"/>
                <w:szCs w:val="20"/>
              </w:rPr>
            </w:pPr>
            <w:r>
              <w:rPr>
                <w:rFonts w:ascii="新宋体" w:hAnsi="新宋体" w:eastAsia="新宋体"/>
                <w:b/>
                <w:color w:val="000000"/>
                <w:szCs w:val="20"/>
              </w:rPr>
              <w:t>监测点位</w:t>
            </w:r>
          </w:p>
        </w:tc>
        <w:tc>
          <w:tcPr>
            <w:tcW w:w="1417" w:type="dxa"/>
            <w:vAlign w:val="center"/>
          </w:tcPr>
          <w:p>
            <w:pPr>
              <w:spacing w:before="62" w:beforeLines="20" w:after="62" w:afterLines="20"/>
              <w:ind w:firstLine="442"/>
              <w:jc w:val="center"/>
              <w:rPr>
                <w:rFonts w:ascii="新宋体" w:hAnsi="新宋体" w:eastAsia="新宋体"/>
                <w:b/>
                <w:color w:val="000000"/>
                <w:szCs w:val="20"/>
              </w:rPr>
            </w:pPr>
            <w:r>
              <w:rPr>
                <w:rFonts w:ascii="新宋体" w:hAnsi="新宋体" w:eastAsia="新宋体"/>
                <w:b/>
                <w:color w:val="000000"/>
                <w:szCs w:val="20"/>
              </w:rPr>
              <w:t>项目</w:t>
            </w:r>
          </w:p>
        </w:tc>
        <w:tc>
          <w:tcPr>
            <w:tcW w:w="1343" w:type="dxa"/>
            <w:vAlign w:val="center"/>
          </w:tcPr>
          <w:p>
            <w:pPr>
              <w:spacing w:before="62" w:beforeLines="20" w:after="62" w:afterLines="20"/>
              <w:ind w:firstLine="189" w:firstLineChars="90"/>
              <w:rPr>
                <w:rFonts w:ascii="新宋体" w:hAnsi="新宋体" w:eastAsia="新宋体"/>
                <w:b/>
                <w:color w:val="000000"/>
                <w:szCs w:val="20"/>
              </w:rPr>
            </w:pPr>
            <w:r>
              <w:rPr>
                <w:rFonts w:ascii="新宋体" w:hAnsi="新宋体" w:eastAsia="新宋体"/>
                <w:b/>
                <w:color w:val="000000"/>
                <w:szCs w:val="20"/>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2" w:hRule="atLeast"/>
          <w:jc w:val="center"/>
        </w:trPr>
        <w:tc>
          <w:tcPr>
            <w:tcW w:w="1169" w:type="dxa"/>
            <w:vMerge w:val="restart"/>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color w:val="000000"/>
                <w:szCs w:val="20"/>
              </w:rPr>
              <w:t>废气</w:t>
            </w:r>
          </w:p>
        </w:tc>
        <w:tc>
          <w:tcPr>
            <w:tcW w:w="2268" w:type="dxa"/>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厂区体积浓度最高处</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甲烷</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1%</w:t>
            </w:r>
          </w:p>
        </w:tc>
        <w:tc>
          <w:tcPr>
            <w:tcW w:w="2750" w:type="dxa"/>
            <w:vMerge w:val="restart"/>
            <w:vAlign w:val="center"/>
          </w:tcPr>
          <w:p>
            <w:pPr>
              <w:spacing w:before="62" w:beforeLines="20" w:after="62" w:afterLines="20"/>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 xml:space="preserve">18918-2002)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5"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restart"/>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厂界</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氨（氨气）</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1.5mg/Nm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1"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硫化氢</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0.06 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臭气浓度</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≤20</w:t>
            </w:r>
          </w:p>
        </w:tc>
        <w:tc>
          <w:tcPr>
            <w:tcW w:w="2750" w:type="dxa"/>
            <w:vMerge w:val="continue"/>
            <w:vAlign w:val="center"/>
          </w:tcPr>
          <w:p>
            <w:pPr>
              <w:spacing w:before="62" w:beforeLines="20" w:after="62" w:afterLines="20"/>
              <w:ind w:firstLine="630" w:firstLineChars="300"/>
              <w:rPr>
                <w:color w:val="000000"/>
                <w:szCs w:val="21"/>
              </w:rPr>
            </w:pPr>
          </w:p>
        </w:tc>
      </w:tr>
    </w:tbl>
    <w:p>
      <w:pPr>
        <w:pStyle w:val="3"/>
        <w:rPr>
          <w:b w:val="0"/>
        </w:rPr>
        <w:sectPr>
          <w:pgSz w:w="11906" w:h="16838"/>
          <w:pgMar w:top="1440" w:right="1080" w:bottom="1440" w:left="1080" w:header="851" w:footer="992" w:gutter="0"/>
          <w:cols w:space="425" w:num="1"/>
          <w:docGrid w:type="linesAndChars" w:linePitch="312" w:charSpace="0"/>
        </w:sectPr>
      </w:pPr>
    </w:p>
    <w:p>
      <w:pPr>
        <w:pStyle w:val="3"/>
        <w:rPr>
          <w:b w:val="0"/>
        </w:rPr>
      </w:pPr>
      <w:r>
        <w:rPr>
          <w:rFonts w:hint="eastAsia"/>
          <w:b w:val="0"/>
        </w:rPr>
        <w:t>四、监测指标及监测频次和测定方法</w:t>
      </w:r>
    </w:p>
    <w:p>
      <w:pPr>
        <w:pStyle w:val="21"/>
        <w:spacing w:beforeAutospacing="0" w:afterAutospacing="0"/>
        <w:ind w:firstLine="280" w:firstLineChars="100"/>
        <w:rPr>
          <w:sz w:val="28"/>
          <w:szCs w:val="28"/>
        </w:rPr>
      </w:pPr>
      <w:r>
        <w:rPr>
          <w:rFonts w:hint="eastAsia"/>
          <w:sz w:val="28"/>
          <w:szCs w:val="28"/>
        </w:rPr>
        <w:t>根据《排污单位自行监测技术指南总则》（</w:t>
      </w:r>
      <w:r>
        <w:rPr>
          <w:sz w:val="28"/>
          <w:szCs w:val="28"/>
        </w:rPr>
        <w:t>HJ 819-2017</w:t>
      </w:r>
      <w:r>
        <w:rPr>
          <w:rFonts w:hint="eastAsia"/>
          <w:sz w:val="28"/>
          <w:szCs w:val="28"/>
        </w:rPr>
        <w:t>）、《排污单位自行监测技术指南 水处理》（HJ 1083—2020）等，确定废水、无组织废气的监测指标及监测频次。</w:t>
      </w:r>
      <w:bookmarkStart w:id="7" w:name="OLE_LINK5"/>
      <w:bookmarkStart w:id="8" w:name="OLE_LINK6"/>
    </w:p>
    <w:p>
      <w:pPr>
        <w:pStyle w:val="21"/>
        <w:spacing w:beforeAutospacing="0" w:afterAutospacing="0"/>
        <w:ind w:firstLine="480"/>
        <w:jc w:val="center"/>
        <w:rPr>
          <w:bCs/>
          <w:szCs w:val="21"/>
        </w:rPr>
      </w:pPr>
      <w:r>
        <w:rPr>
          <w:rFonts w:hint="eastAsia"/>
          <w:bCs/>
          <w:szCs w:val="21"/>
        </w:rPr>
        <w:t>表4-1监测指标及监测频次</w:t>
      </w:r>
    </w:p>
    <w:tbl>
      <w:tblPr>
        <w:tblStyle w:val="23"/>
        <w:tblpPr w:leftFromText="180" w:rightFromText="180" w:vertAnchor="text" w:horzAnchor="margin" w:tblpY="320"/>
        <w:tblW w:w="148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718"/>
        <w:gridCol w:w="803"/>
        <w:gridCol w:w="803"/>
        <w:gridCol w:w="999"/>
        <w:gridCol w:w="951"/>
        <w:gridCol w:w="850"/>
        <w:gridCol w:w="709"/>
        <w:gridCol w:w="1053"/>
        <w:gridCol w:w="1134"/>
        <w:gridCol w:w="1276"/>
        <w:gridCol w:w="1134"/>
        <w:gridCol w:w="992"/>
        <w:gridCol w:w="2533"/>
        <w:gridCol w:w="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tblHeader/>
        </w:trPr>
        <w:tc>
          <w:tcPr>
            <w:tcW w:w="661" w:type="dxa"/>
            <w:vAlign w:val="center"/>
          </w:tcPr>
          <w:p>
            <w:pPr>
              <w:pStyle w:val="57"/>
              <w:adjustRightInd w:val="0"/>
              <w:snapToGrid w:val="0"/>
              <w:jc w:val="center"/>
              <w:rPr>
                <w:rFonts w:ascii="黑体" w:hAnsi="黑体" w:eastAsia="黑体"/>
              </w:rPr>
            </w:pPr>
            <w:r>
              <w:rPr>
                <w:rFonts w:ascii="黑体" w:hAnsi="黑体" w:eastAsia="黑体"/>
              </w:rPr>
              <w:t>序号</w:t>
            </w:r>
          </w:p>
        </w:tc>
        <w:tc>
          <w:tcPr>
            <w:tcW w:w="718" w:type="dxa"/>
            <w:vAlign w:val="center"/>
          </w:tcPr>
          <w:p>
            <w:pPr>
              <w:pStyle w:val="57"/>
              <w:adjustRightInd w:val="0"/>
              <w:snapToGrid w:val="0"/>
              <w:jc w:val="center"/>
              <w:rPr>
                <w:rFonts w:ascii="黑体" w:hAnsi="黑体" w:eastAsia="黑体"/>
              </w:rPr>
            </w:pPr>
            <w:r>
              <w:rPr>
                <w:rFonts w:ascii="黑体" w:hAnsi="黑体" w:eastAsia="黑体"/>
              </w:rPr>
              <w:t>污染源类别</w:t>
            </w:r>
            <w:r>
              <w:rPr>
                <w:rFonts w:hint="eastAsia" w:ascii="黑体" w:hAnsi="黑体" w:eastAsia="黑体"/>
              </w:rPr>
              <w:t>/监测类别</w:t>
            </w:r>
          </w:p>
        </w:tc>
        <w:tc>
          <w:tcPr>
            <w:tcW w:w="803" w:type="dxa"/>
            <w:vAlign w:val="center"/>
          </w:tcPr>
          <w:p>
            <w:pPr>
              <w:pStyle w:val="57"/>
              <w:adjustRightInd w:val="0"/>
              <w:snapToGrid w:val="0"/>
              <w:jc w:val="center"/>
              <w:rPr>
                <w:rFonts w:ascii="黑体" w:hAnsi="黑体" w:eastAsia="黑体"/>
              </w:rPr>
            </w:pPr>
            <w:r>
              <w:rPr>
                <w:rFonts w:ascii="黑体" w:hAnsi="黑体" w:eastAsia="黑体"/>
              </w:rPr>
              <w:t>排放口编号</w:t>
            </w:r>
            <w:r>
              <w:rPr>
                <w:rFonts w:hint="eastAsia" w:ascii="黑体" w:hAnsi="黑体" w:eastAsia="黑体"/>
              </w:rPr>
              <w:t>/监测点位</w:t>
            </w:r>
          </w:p>
        </w:tc>
        <w:tc>
          <w:tcPr>
            <w:tcW w:w="803" w:type="dxa"/>
            <w:vAlign w:val="center"/>
          </w:tcPr>
          <w:p>
            <w:pPr>
              <w:pStyle w:val="57"/>
              <w:adjustRightInd w:val="0"/>
              <w:snapToGrid w:val="0"/>
              <w:jc w:val="center"/>
              <w:rPr>
                <w:rFonts w:ascii="黑体" w:hAnsi="黑体" w:eastAsia="黑体"/>
              </w:rPr>
            </w:pPr>
            <w:r>
              <w:rPr>
                <w:rFonts w:hint="eastAsia" w:ascii="黑体" w:hAnsi="黑体" w:eastAsia="黑体"/>
              </w:rPr>
              <w:t>排放口名称/监测点位名称</w:t>
            </w:r>
          </w:p>
        </w:tc>
        <w:tc>
          <w:tcPr>
            <w:tcW w:w="999" w:type="dxa"/>
            <w:vAlign w:val="center"/>
          </w:tcPr>
          <w:p>
            <w:pPr>
              <w:pStyle w:val="57"/>
              <w:adjustRightInd w:val="0"/>
              <w:snapToGrid w:val="0"/>
              <w:jc w:val="center"/>
              <w:rPr>
                <w:rFonts w:ascii="黑体" w:hAnsi="黑体" w:eastAsia="黑体"/>
              </w:rPr>
            </w:pPr>
            <w:r>
              <w:rPr>
                <w:rFonts w:hint="eastAsia" w:ascii="黑体" w:hAnsi="黑体" w:eastAsia="黑体"/>
              </w:rPr>
              <w:t>监测内容（1）</w:t>
            </w:r>
          </w:p>
        </w:tc>
        <w:tc>
          <w:tcPr>
            <w:tcW w:w="951" w:type="dxa"/>
            <w:vAlign w:val="center"/>
          </w:tcPr>
          <w:p>
            <w:pPr>
              <w:pStyle w:val="57"/>
              <w:adjustRightInd w:val="0"/>
              <w:snapToGrid w:val="0"/>
              <w:jc w:val="center"/>
              <w:rPr>
                <w:rFonts w:ascii="黑体" w:hAnsi="黑体" w:eastAsia="黑体"/>
              </w:rPr>
            </w:pPr>
            <w:r>
              <w:rPr>
                <w:rFonts w:ascii="黑体" w:hAnsi="黑体" w:eastAsia="黑体"/>
              </w:rPr>
              <w:t>污染物名称</w:t>
            </w:r>
          </w:p>
        </w:tc>
        <w:tc>
          <w:tcPr>
            <w:tcW w:w="850" w:type="dxa"/>
            <w:vAlign w:val="center"/>
          </w:tcPr>
          <w:p>
            <w:pPr>
              <w:pStyle w:val="57"/>
              <w:adjustRightInd w:val="0"/>
              <w:snapToGrid w:val="0"/>
              <w:jc w:val="center"/>
              <w:rPr>
                <w:rFonts w:ascii="黑体" w:hAnsi="黑体" w:eastAsia="黑体"/>
              </w:rPr>
            </w:pPr>
            <w:r>
              <w:rPr>
                <w:rFonts w:ascii="黑体" w:hAnsi="黑体" w:eastAsia="黑体"/>
              </w:rPr>
              <w:t>监测设施</w:t>
            </w:r>
          </w:p>
        </w:tc>
        <w:tc>
          <w:tcPr>
            <w:tcW w:w="709" w:type="dxa"/>
            <w:vAlign w:val="center"/>
          </w:tcPr>
          <w:p>
            <w:pPr>
              <w:pStyle w:val="57"/>
              <w:adjustRightInd w:val="0"/>
              <w:snapToGrid w:val="0"/>
              <w:jc w:val="center"/>
              <w:rPr>
                <w:rFonts w:ascii="黑体" w:hAnsi="黑体" w:eastAsia="黑体"/>
              </w:rPr>
            </w:pPr>
            <w:r>
              <w:rPr>
                <w:rFonts w:ascii="黑体" w:hAnsi="黑体" w:eastAsia="黑体"/>
              </w:rPr>
              <w:t>自动监测是否联网</w:t>
            </w:r>
          </w:p>
        </w:tc>
        <w:tc>
          <w:tcPr>
            <w:tcW w:w="1053" w:type="dxa"/>
            <w:vAlign w:val="center"/>
          </w:tcPr>
          <w:p>
            <w:pPr>
              <w:pStyle w:val="57"/>
              <w:adjustRightInd w:val="0"/>
              <w:snapToGrid w:val="0"/>
              <w:jc w:val="center"/>
              <w:rPr>
                <w:rFonts w:ascii="黑体" w:hAnsi="黑体" w:eastAsia="黑体"/>
              </w:rPr>
            </w:pPr>
            <w:r>
              <w:rPr>
                <w:rFonts w:hint="eastAsia" w:ascii="黑体" w:hAnsi="黑体" w:eastAsia="黑体"/>
              </w:rPr>
              <w:t>自动监测仪器名称</w:t>
            </w:r>
          </w:p>
        </w:tc>
        <w:tc>
          <w:tcPr>
            <w:tcW w:w="1134" w:type="dxa"/>
            <w:vAlign w:val="center"/>
          </w:tcPr>
          <w:p>
            <w:pPr>
              <w:pStyle w:val="57"/>
              <w:adjustRightInd w:val="0"/>
              <w:snapToGrid w:val="0"/>
              <w:jc w:val="center"/>
              <w:rPr>
                <w:rFonts w:ascii="黑体" w:hAnsi="黑体" w:eastAsia="黑体"/>
              </w:rPr>
            </w:pPr>
            <w:r>
              <w:rPr>
                <w:rFonts w:hint="eastAsia" w:ascii="黑体" w:hAnsi="黑体" w:eastAsia="黑体"/>
              </w:rPr>
              <w:t>自动监测设施安装位置</w:t>
            </w:r>
          </w:p>
        </w:tc>
        <w:tc>
          <w:tcPr>
            <w:tcW w:w="1276" w:type="dxa"/>
            <w:vAlign w:val="center"/>
          </w:tcPr>
          <w:p>
            <w:pPr>
              <w:pStyle w:val="57"/>
              <w:adjustRightInd w:val="0"/>
              <w:snapToGrid w:val="0"/>
              <w:jc w:val="center"/>
              <w:rPr>
                <w:rFonts w:ascii="黑体" w:hAnsi="黑体" w:eastAsia="黑体"/>
              </w:rPr>
            </w:pPr>
            <w:r>
              <w:rPr>
                <w:rFonts w:ascii="黑体" w:hAnsi="黑体" w:eastAsia="黑体"/>
              </w:rPr>
              <w:t>自动监测设施是否符合安装</w:t>
            </w:r>
            <w:r>
              <w:rPr>
                <w:rFonts w:hint="eastAsia" w:ascii="黑体" w:hAnsi="黑体" w:eastAsia="黑体"/>
              </w:rPr>
              <w:t>、</w:t>
            </w:r>
            <w:r>
              <w:rPr>
                <w:rFonts w:ascii="黑体" w:hAnsi="黑体" w:eastAsia="黑体"/>
              </w:rPr>
              <w:t>运行</w:t>
            </w:r>
            <w:r>
              <w:rPr>
                <w:rFonts w:hint="eastAsia" w:ascii="黑体" w:hAnsi="黑体" w:eastAsia="黑体"/>
              </w:rPr>
              <w:t>、</w:t>
            </w:r>
            <w:r>
              <w:rPr>
                <w:rFonts w:ascii="黑体" w:hAnsi="黑体" w:eastAsia="黑体"/>
              </w:rPr>
              <w:t>维护等管理要求</w:t>
            </w:r>
          </w:p>
        </w:tc>
        <w:tc>
          <w:tcPr>
            <w:tcW w:w="1134" w:type="dxa"/>
            <w:vAlign w:val="center"/>
          </w:tcPr>
          <w:p>
            <w:pPr>
              <w:pStyle w:val="57"/>
              <w:adjustRightInd w:val="0"/>
              <w:snapToGrid w:val="0"/>
              <w:jc w:val="center"/>
              <w:rPr>
                <w:rFonts w:ascii="黑体" w:hAnsi="黑体" w:eastAsia="黑体"/>
                <w:highlight w:val="yellow"/>
              </w:rPr>
            </w:pPr>
            <w:r>
              <w:rPr>
                <w:rFonts w:hint="eastAsia" w:ascii="黑体" w:hAnsi="黑体" w:eastAsia="黑体"/>
              </w:rPr>
              <w:t>手工</w:t>
            </w:r>
            <w:r>
              <w:rPr>
                <w:rFonts w:ascii="黑体" w:hAnsi="黑体" w:eastAsia="黑体"/>
              </w:rPr>
              <w:t>监测采样方法及个数（</w:t>
            </w:r>
            <w:r>
              <w:rPr>
                <w:rFonts w:hint="eastAsia" w:ascii="黑体" w:hAnsi="黑体" w:eastAsia="黑体"/>
              </w:rPr>
              <w:t>2</w:t>
            </w:r>
            <w:r>
              <w:rPr>
                <w:rFonts w:ascii="黑体" w:hAnsi="黑体" w:eastAsia="黑体"/>
              </w:rPr>
              <w:t>）</w:t>
            </w:r>
          </w:p>
        </w:tc>
        <w:tc>
          <w:tcPr>
            <w:tcW w:w="992" w:type="dxa"/>
            <w:vAlign w:val="center"/>
          </w:tcPr>
          <w:p>
            <w:pPr>
              <w:pStyle w:val="57"/>
              <w:adjustRightInd w:val="0"/>
              <w:snapToGrid w:val="0"/>
              <w:jc w:val="center"/>
              <w:rPr>
                <w:rFonts w:ascii="黑体" w:hAnsi="黑体" w:eastAsia="黑体"/>
              </w:rPr>
            </w:pPr>
            <w:r>
              <w:rPr>
                <w:rFonts w:hint="eastAsia" w:ascii="黑体" w:hAnsi="黑体" w:eastAsia="黑体"/>
              </w:rPr>
              <w:t>手工</w:t>
            </w:r>
            <w:r>
              <w:rPr>
                <w:rFonts w:ascii="黑体" w:hAnsi="黑体" w:eastAsia="黑体"/>
              </w:rPr>
              <w:t>监测频次（</w:t>
            </w:r>
            <w:r>
              <w:rPr>
                <w:rFonts w:hint="eastAsia" w:ascii="黑体" w:hAnsi="黑体" w:eastAsia="黑体"/>
              </w:rPr>
              <w:t>3</w:t>
            </w:r>
            <w:r>
              <w:rPr>
                <w:rFonts w:ascii="黑体" w:hAnsi="黑体" w:eastAsia="黑体"/>
              </w:rPr>
              <w:t>）</w:t>
            </w:r>
          </w:p>
        </w:tc>
        <w:tc>
          <w:tcPr>
            <w:tcW w:w="2533" w:type="dxa"/>
            <w:vAlign w:val="center"/>
          </w:tcPr>
          <w:p>
            <w:pPr>
              <w:pStyle w:val="57"/>
              <w:adjustRightInd w:val="0"/>
              <w:snapToGrid w:val="0"/>
              <w:jc w:val="center"/>
              <w:rPr>
                <w:rFonts w:ascii="黑体" w:hAnsi="黑体" w:eastAsia="黑体"/>
              </w:rPr>
            </w:pPr>
            <w:r>
              <w:rPr>
                <w:rFonts w:hint="eastAsia" w:ascii="黑体" w:hAnsi="黑体" w:eastAsia="黑体"/>
              </w:rPr>
              <w:t>手工测定</w:t>
            </w:r>
            <w:r>
              <w:rPr>
                <w:rFonts w:ascii="黑体" w:hAnsi="黑体" w:eastAsia="黑体"/>
              </w:rPr>
              <w:t>方法（</w:t>
            </w:r>
            <w:r>
              <w:rPr>
                <w:rFonts w:hint="eastAsia" w:ascii="黑体" w:hAnsi="黑体" w:eastAsia="黑体"/>
              </w:rPr>
              <w:t>4</w:t>
            </w:r>
            <w:r>
              <w:rPr>
                <w:rFonts w:ascii="黑体" w:hAnsi="黑体" w:eastAsia="黑体"/>
              </w:rPr>
              <w:t>）</w:t>
            </w:r>
          </w:p>
        </w:tc>
        <w:tc>
          <w:tcPr>
            <w:tcW w:w="260" w:type="dxa"/>
            <w:vAlign w:val="center"/>
          </w:tcPr>
          <w:p>
            <w:pPr>
              <w:pStyle w:val="57"/>
              <w:adjustRightInd w:val="0"/>
              <w:snapToGrid w:val="0"/>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876" w:type="dxa"/>
            <w:gridSpan w:val="15"/>
            <w:vAlign w:val="center"/>
          </w:tcPr>
          <w:tbl>
            <w:tblPr>
              <w:tblStyle w:val="23"/>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18"/>
              <w:gridCol w:w="806"/>
              <w:gridCol w:w="796"/>
              <w:gridCol w:w="1000"/>
              <w:gridCol w:w="954"/>
              <w:gridCol w:w="845"/>
              <w:gridCol w:w="712"/>
              <w:gridCol w:w="1047"/>
              <w:gridCol w:w="1120"/>
              <w:gridCol w:w="23"/>
              <w:gridCol w:w="1253"/>
              <w:gridCol w:w="18"/>
              <w:gridCol w:w="1131"/>
              <w:gridCol w:w="997"/>
              <w:gridCol w:w="1707"/>
              <w:gridCol w:w="825"/>
              <w:gridCol w:w="24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臭气浓度</w:t>
                  </w:r>
                </w:p>
              </w:tc>
              <w:tc>
                <w:tcPr>
                  <w:tcW w:w="954" w:type="dxa"/>
                  <w:vAlign w:val="center"/>
                </w:tcPr>
                <w:p>
                  <w:pPr>
                    <w:pStyle w:val="57"/>
                    <w:adjustRightInd w:val="0"/>
                    <w:snapToGrid w:val="0"/>
                    <w:jc w:val="center"/>
                    <w:rPr>
                      <w:rFonts w:ascii="宋体" w:hAnsi="宋体"/>
                    </w:rPr>
                  </w:pPr>
                  <w:r>
                    <w:rPr>
                      <w:rFonts w:hint="eastAsia" w:ascii="宋体" w:hAnsi="宋体"/>
                    </w:rPr>
                    <w:t>臭气浓度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空气质量 恶臭的测定 三点比较式臭袋法 GB T 14675-1993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氨（氨气）</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空气和废气 氨的测定 纳氏试剂分光光度法 HJ 533-2009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3</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硫化氢</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亚甲基蓝分光光度法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649" w:type="dxa"/>
                  <w:vAlign w:val="center"/>
                </w:tcPr>
                <w:p>
                  <w:pPr>
                    <w:pStyle w:val="57"/>
                    <w:adjustRightInd w:val="0"/>
                    <w:snapToGrid w:val="0"/>
                    <w:jc w:val="center"/>
                    <w:rPr>
                      <w:rFonts w:ascii="宋体" w:hAnsi="宋体"/>
                    </w:rPr>
                  </w:pPr>
                  <w:r>
                    <w:rPr>
                      <w:rFonts w:hint="eastAsia" w:ascii="宋体" w:hAnsi="宋体"/>
                    </w:rPr>
                    <w:t>4</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厂区体积浓度最高处</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甲烷</w:t>
                  </w:r>
                </w:p>
              </w:tc>
              <w:tc>
                <w:tcPr>
                  <w:tcW w:w="954" w:type="dxa"/>
                  <w:vAlign w:val="center"/>
                </w:tcPr>
                <w:p>
                  <w:pPr>
                    <w:pStyle w:val="57"/>
                    <w:adjustRightInd w:val="0"/>
                    <w:snapToGrid w:val="0"/>
                    <w:jc w:val="center"/>
                    <w:rPr>
                      <w:rFonts w:ascii="宋体" w:hAnsi="宋体"/>
                    </w:rPr>
                  </w:pPr>
                  <w:r>
                    <w:rPr>
                      <w:rFonts w:hint="eastAsia" w:ascii="宋体" w:hAnsi="宋体"/>
                    </w:rPr>
                    <w:t>甲烷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1次/年</w:t>
                  </w:r>
                </w:p>
              </w:tc>
              <w:tc>
                <w:tcPr>
                  <w:tcW w:w="2532" w:type="dxa"/>
                  <w:gridSpan w:val="2"/>
                  <w:vAlign w:val="center"/>
                </w:tcPr>
                <w:p>
                  <w:pPr>
                    <w:pStyle w:val="57"/>
                    <w:adjustRightInd w:val="0"/>
                    <w:snapToGrid w:val="0"/>
                    <w:jc w:val="center"/>
                    <w:rPr>
                      <w:rFonts w:ascii="宋体" w:hAnsi="宋体"/>
                    </w:rPr>
                  </w:pPr>
                  <w:r>
                    <w:rPr>
                      <w:rFonts w:hint="eastAsia" w:ascii="宋体" w:hAnsi="宋体"/>
                    </w:rPr>
                    <w:t>环境空气 总烃、甲烷和非甲烷总烃的测定 直接进样-气相色谱法（HJ 604-2017）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电极法》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49" w:type="dxa"/>
                  <w:vAlign w:val="center"/>
                </w:tcPr>
                <w:p>
                  <w:pPr>
                    <w:pStyle w:val="57"/>
                    <w:adjustRightInd w:val="0"/>
                    <w:snapToGrid w:val="0"/>
                    <w:jc w:val="center"/>
                    <w:rPr>
                      <w:rFonts w:ascii="宋体" w:hAnsi="宋体"/>
                    </w:rPr>
                  </w:pPr>
                  <w:r>
                    <w:rPr>
                      <w:rFonts w:hint="eastAsia" w:ascii="宋体" w:hAnsi="宋体"/>
                    </w:rPr>
                    <w:t>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PH在线分析仪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玻璃电极法 GB 6920-1986</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色度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水质色度的测定 稀释倍数法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悬浮物</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悬浮物的测定 重量法 GB 11901-1989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649" w:type="dxa"/>
                  <w:vAlign w:val="center"/>
                </w:tcPr>
                <w:p>
                  <w:pPr>
                    <w:pStyle w:val="57"/>
                    <w:adjustRightInd w:val="0"/>
                    <w:snapToGrid w:val="0"/>
                    <w:jc w:val="center"/>
                    <w:rPr>
                      <w:rFonts w:ascii="宋体" w:hAnsi="宋体"/>
                    </w:rPr>
                  </w:pPr>
                  <w:r>
                    <w:rPr>
                      <w:rFonts w:hint="eastAsia" w:ascii="宋体" w:hAnsi="宋体"/>
                    </w:rPr>
                    <w:t>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五日生化需氧量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五日生化需氧量（BOD5）的测定 稀释与接种法 HJ505-2009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49" w:type="dxa"/>
                  <w:vAlign w:val="center"/>
                </w:tcPr>
                <w:p>
                  <w:pPr>
                    <w:pStyle w:val="57"/>
                    <w:adjustRightInd w:val="0"/>
                    <w:snapToGrid w:val="0"/>
                    <w:jc w:val="center"/>
                    <w:rPr>
                      <w:rFonts w:ascii="宋体" w:hAnsi="宋体"/>
                    </w:rPr>
                  </w:pPr>
                  <w:r>
                    <w:rPr>
                      <w:rFonts w:hint="eastAsia" w:ascii="宋体" w:hAnsi="宋体"/>
                    </w:rPr>
                    <w:t>11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COD在线分析仪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阴离子表面活性剂</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阴离子表面活性剂的测定 亚甲蓝分光光度法》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烷基汞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烷基汞的测定 气相色谱法》GB/T 14204-1993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总镉</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六价铬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六价铬的测定 二苯碳酰二肼分光光度法》GB/T 7467-1987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总铅</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 HJ 636-2012</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氨氮在线分析仪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 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总磷在线分析仪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 GB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钼酸铵分光光度法》GB/T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石油类</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 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49" w:type="dxa"/>
                  <w:vAlign w:val="center"/>
                </w:tcPr>
                <w:p>
                  <w:pPr>
                    <w:pStyle w:val="57"/>
                    <w:adjustRightInd w:val="0"/>
                    <w:snapToGrid w:val="0"/>
                    <w:jc w:val="center"/>
                    <w:rPr>
                      <w:rFonts w:ascii="宋体" w:hAnsi="宋体"/>
                    </w:rPr>
                  </w:pPr>
                  <w:r>
                    <w:rPr>
                      <w:rFonts w:hint="eastAsia" w:ascii="宋体" w:hAnsi="宋体"/>
                    </w:rPr>
                    <w:t>27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动植物油</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49" w:type="dxa"/>
                  <w:vAlign w:val="center"/>
                </w:tcPr>
                <w:p>
                  <w:pPr>
                    <w:pStyle w:val="57"/>
                    <w:adjustRightInd w:val="0"/>
                    <w:snapToGrid w:val="0"/>
                    <w:jc w:val="center"/>
                    <w:rPr>
                      <w:rFonts w:ascii="宋体" w:hAnsi="宋体"/>
                    </w:rPr>
                  </w:pPr>
                  <w:r>
                    <w:rPr>
                      <w:rFonts w:hint="eastAsia" w:ascii="宋体" w:hAnsi="宋体"/>
                    </w:rPr>
                    <w:t>28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粪大肠菌群数/（MPN/L）</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粪大肠菌群的测定 多管发酵法（HJ/T347.2-2018）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29</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化学需氧量</w:t>
                  </w:r>
                </w:p>
              </w:tc>
              <w:tc>
                <w:tcPr>
                  <w:tcW w:w="845"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COD自动检测仪</w:t>
                  </w:r>
                </w:p>
              </w:tc>
              <w:tc>
                <w:tcPr>
                  <w:tcW w:w="1143"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水质 化学需氧量的测定 重铬酸盐法 HJ 828-2017</w:t>
                  </w:r>
                </w:p>
              </w:tc>
              <w:tc>
                <w:tcPr>
                  <w:tcW w:w="1070"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30</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Align w:val="center"/>
                </w:tcPr>
                <w:p>
                  <w:pPr>
                    <w:adjustRightInd w:val="0"/>
                    <w:snapToGrid w:val="0"/>
                    <w:jc w:val="center"/>
                    <w:rPr>
                      <w:rFonts w:ascii="宋体" w:hAnsi="宋体" w:eastAsia="宋体"/>
                      <w:szCs w:val="20"/>
                    </w:rPr>
                  </w:pPr>
                  <w:r>
                    <w:rPr>
                      <w:rFonts w:hint="eastAsia" w:ascii="宋体" w:hAnsi="宋体" w:eastAsia="宋体"/>
                      <w:szCs w:val="20"/>
                    </w:rPr>
                    <w:t>氨氮（NH3-N）</w:t>
                  </w:r>
                </w:p>
              </w:tc>
              <w:tc>
                <w:tcPr>
                  <w:tcW w:w="845" w:type="dxa"/>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Align w:val="center"/>
                </w:tcPr>
                <w:p>
                  <w:pPr>
                    <w:adjustRightInd w:val="0"/>
                    <w:snapToGrid w:val="0"/>
                    <w:jc w:val="center"/>
                    <w:rPr>
                      <w:rFonts w:ascii="宋体" w:hAnsi="宋体" w:eastAsia="宋体"/>
                      <w:szCs w:val="20"/>
                    </w:rPr>
                  </w:pPr>
                  <w:r>
                    <w:rPr>
                      <w:rFonts w:hint="eastAsia" w:ascii="宋体" w:hAnsi="宋体" w:eastAsia="宋体"/>
                      <w:szCs w:val="20"/>
                    </w:rPr>
                    <w:t>氨氮自动检测仪</w:t>
                  </w:r>
                </w:p>
              </w:tc>
              <w:tc>
                <w:tcPr>
                  <w:tcW w:w="1143"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Align w:val="center"/>
                </w:tcPr>
                <w:p>
                  <w:pPr>
                    <w:adjustRightInd w:val="0"/>
                    <w:snapToGrid w:val="0"/>
                    <w:jc w:val="center"/>
                    <w:rPr>
                      <w:rFonts w:ascii="宋体" w:hAnsi="宋体" w:eastAsia="宋体"/>
                      <w:szCs w:val="20"/>
                    </w:rPr>
                  </w:pPr>
                  <w:r>
                    <w:rPr>
                      <w:rFonts w:hint="eastAsia" w:ascii="宋体" w:hAnsi="宋体" w:eastAsia="宋体"/>
                      <w:szCs w:val="20"/>
                    </w:rPr>
                    <w:t>水质 氨氮的测定 纳氏试剂分光光度法 HJ 535-2009</w:t>
                  </w:r>
                </w:p>
              </w:tc>
              <w:tc>
                <w:tcPr>
                  <w:tcW w:w="1070"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bl>
          <w:p>
            <w:pPr>
              <w:pStyle w:val="57"/>
              <w:adjustRightInd w:val="0"/>
              <w:snapToGrid w:val="0"/>
              <w:rPr>
                <w:rFonts w:ascii="宋体" w:hAnsi="宋体"/>
              </w:rPr>
            </w:pPr>
            <w:bookmarkStart w:id="9" w:name="BIAO15ZXJC"/>
            <w:bookmarkEnd w:id="9"/>
          </w:p>
        </w:tc>
      </w:tr>
      <w:bookmarkEnd w:id="7"/>
      <w:bookmarkEnd w:id="8"/>
    </w:tbl>
    <w:p>
      <w:pPr>
        <w:pStyle w:val="3"/>
        <w:spacing w:before="120" w:after="120" w:line="360" w:lineRule="auto"/>
        <w:rPr>
          <w:rFonts w:hint="eastAsia" w:ascii="宋体" w:hAnsi="宋体" w:eastAsia="宋体"/>
          <w:sz w:val="28"/>
          <w:szCs w:val="28"/>
        </w:rPr>
        <w:sectPr>
          <w:footerReference r:id="rId3" w:type="default"/>
          <w:pgSz w:w="16838" w:h="11906" w:orient="landscape"/>
          <w:pgMar w:top="1440" w:right="1080" w:bottom="1440" w:left="1080" w:header="624" w:footer="992" w:gutter="0"/>
          <w:pgNumType w:start="1"/>
          <w:cols w:space="720" w:num="1"/>
          <w:docGrid w:type="lines" w:linePitch="319" w:charSpace="0"/>
        </w:sectPr>
      </w:pPr>
    </w:p>
    <w:p>
      <w:pPr>
        <w:pStyle w:val="3"/>
        <w:spacing w:before="120" w:after="120" w:line="360" w:lineRule="auto"/>
        <w:rPr>
          <w:rFonts w:ascii="宋体" w:hAnsi="宋体" w:eastAsia="宋体"/>
          <w:sz w:val="28"/>
          <w:szCs w:val="28"/>
        </w:rPr>
      </w:pPr>
      <w:r>
        <w:rPr>
          <w:rFonts w:hint="eastAsia" w:ascii="宋体" w:hAnsi="宋体" w:eastAsia="宋体"/>
          <w:sz w:val="28"/>
          <w:szCs w:val="28"/>
        </w:rPr>
        <w:t>五、废水采样与样品保存</w:t>
      </w:r>
    </w:p>
    <w:tbl>
      <w:tblPr>
        <w:tblStyle w:val="23"/>
        <w:tblW w:w="9722" w:type="dxa"/>
        <w:jc w:val="center"/>
        <w:tblLayout w:type="autofit"/>
        <w:tblCellMar>
          <w:top w:w="0" w:type="dxa"/>
          <w:left w:w="108" w:type="dxa"/>
          <w:bottom w:w="0" w:type="dxa"/>
          <w:right w:w="108" w:type="dxa"/>
        </w:tblCellMar>
      </w:tblPr>
      <w:tblGrid>
        <w:gridCol w:w="834"/>
        <w:gridCol w:w="1085"/>
        <w:gridCol w:w="881"/>
        <w:gridCol w:w="2288"/>
        <w:gridCol w:w="804"/>
        <w:gridCol w:w="967"/>
        <w:gridCol w:w="1509"/>
        <w:gridCol w:w="1354"/>
      </w:tblGrid>
      <w:tr>
        <w:tblPrEx>
          <w:tblCellMar>
            <w:top w:w="0" w:type="dxa"/>
            <w:left w:w="108" w:type="dxa"/>
            <w:bottom w:w="0" w:type="dxa"/>
            <w:right w:w="108" w:type="dxa"/>
          </w:tblCellMar>
        </w:tblPrEx>
        <w:trPr>
          <w:trHeight w:val="546" w:hRule="atLeast"/>
          <w:jc w:val="center"/>
        </w:trPr>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序号</w:t>
            </w:r>
          </w:p>
        </w:tc>
        <w:tc>
          <w:tcPr>
            <w:tcW w:w="1085"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测定项目</w:t>
            </w:r>
          </w:p>
        </w:tc>
        <w:tc>
          <w:tcPr>
            <w:tcW w:w="88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采样容器</w:t>
            </w:r>
          </w:p>
        </w:tc>
        <w:tc>
          <w:tcPr>
            <w:tcW w:w="228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保存方法及保存试剂用量</w:t>
            </w:r>
          </w:p>
        </w:tc>
        <w:tc>
          <w:tcPr>
            <w:tcW w:w="80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保存时间</w:t>
            </w:r>
          </w:p>
        </w:tc>
        <w:tc>
          <w:tcPr>
            <w:tcW w:w="967"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最低采样量</w:t>
            </w:r>
          </w:p>
        </w:tc>
        <w:tc>
          <w:tcPr>
            <w:tcW w:w="1509" w:type="dxa"/>
            <w:tcBorders>
              <w:top w:val="single" w:color="auto" w:sz="4" w:space="0"/>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相关依据</w:t>
            </w:r>
          </w:p>
        </w:tc>
        <w:tc>
          <w:tcPr>
            <w:tcW w:w="1354" w:type="dxa"/>
            <w:tcBorders>
              <w:top w:val="single" w:color="auto" w:sz="4" w:space="0"/>
              <w:left w:val="nil"/>
              <w:bottom w:val="single" w:color="auto" w:sz="4" w:space="0"/>
              <w:right w:val="single" w:color="auto" w:sz="4" w:space="0"/>
            </w:tcBorders>
            <w:shd w:val="clear" w:color="auto" w:fill="auto"/>
            <w:vAlign w:val="center"/>
          </w:tcPr>
          <w:p>
            <w:pPr>
              <w:ind w:firstLine="360"/>
              <w:jc w:val="center"/>
              <w:rPr>
                <w:rFonts w:ascii="宋体" w:hAnsi="宋体" w:cs="宋体"/>
                <w:color w:val="000000"/>
                <w:sz w:val="18"/>
                <w:szCs w:val="21"/>
              </w:rPr>
            </w:pPr>
            <w:r>
              <w:rPr>
                <w:rFonts w:hint="eastAsia" w:ascii="宋体" w:hAnsi="宋体" w:cs="宋体"/>
                <w:color w:val="000000"/>
                <w:sz w:val="18"/>
                <w:szCs w:val="21"/>
              </w:rPr>
              <w:t>备  注</w:t>
            </w:r>
          </w:p>
        </w:tc>
      </w:tr>
      <w:tr>
        <w:tblPrEx>
          <w:tblCellMar>
            <w:top w:w="0" w:type="dxa"/>
            <w:left w:w="108" w:type="dxa"/>
            <w:bottom w:w="0" w:type="dxa"/>
            <w:right w:w="108" w:type="dxa"/>
          </w:tblCellMar>
        </w:tblPrEx>
        <w:trPr>
          <w:trHeight w:val="434"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水温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GB/T13195-1991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78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石油类和动植物油类</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G棕色</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单独采样，不要预洗，充满，加HCL到PH≤2，2-5℃冷藏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7</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90" w:firstLineChars="5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HJ637-2018</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冷藏12小时内测定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化学需氧量</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48h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HJ/T828-2017</w:t>
            </w:r>
          </w:p>
        </w:tc>
        <w:tc>
          <w:tcPr>
            <w:tcW w:w="135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39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PH</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HJ1147-2020</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5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色度</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HJ1182-2021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BOD</w:t>
            </w:r>
            <w:r>
              <w:rPr>
                <w:rFonts w:hint="eastAsia" w:ascii="宋体" w:hAnsi="宋体" w:cs="宋体"/>
                <w:color w:val="000000"/>
                <w:sz w:val="18"/>
                <w:szCs w:val="21"/>
                <w:vertAlign w:val="subscript"/>
              </w:rPr>
              <w:t>5</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溶解氧瓶</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1-5℃暗处冷藏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HJ50</w:t>
            </w:r>
            <w:r>
              <w:rPr>
                <w:rFonts w:ascii="宋体" w:hAnsi="宋体" w:cs="宋体"/>
                <w:color w:val="000000"/>
                <w:sz w:val="18"/>
                <w:szCs w:val="21"/>
              </w:rPr>
              <w:t>5</w:t>
            </w:r>
            <w:r>
              <w:rPr>
                <w:rFonts w:hint="eastAsia" w:ascii="宋体" w:hAnsi="宋体" w:cs="宋体"/>
                <w:color w:val="000000"/>
                <w:sz w:val="18"/>
                <w:szCs w:val="21"/>
              </w:rPr>
              <w:t>-2009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氨氮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8HJ535-2009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酸化，HCL酸化至PH1-2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7d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HJ636-2012</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烷基汞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2-5℃，每升加1g硫酸铜</w:t>
            </w:r>
          </w:p>
        </w:tc>
        <w:tc>
          <w:tcPr>
            <w:tcW w:w="80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GB/T14204-1993</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采样和分析</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10</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用H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或HCl酸化至pH≤2或冷藏</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GB/T11893-1989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67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HCl，1%，如水样为中性，1 L 水 样中加浓 HCl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nil"/>
              <w:right w:val="nil"/>
            </w:tcBorders>
            <w:shd w:val="clear" w:color="auto" w:fill="auto"/>
            <w:noWrap/>
            <w:vAlign w:val="center"/>
          </w:tcPr>
          <w:p>
            <w:pPr>
              <w:rPr>
                <w:rFonts w:ascii="宋体" w:hAnsi="宋体" w:cs="宋体"/>
                <w:color w:val="000000"/>
                <w:sz w:val="18"/>
                <w:szCs w:val="21"/>
              </w:rPr>
            </w:pPr>
            <w:r>
              <w:rPr>
                <w:rFonts w:hint="eastAsia" w:ascii="宋体" w:hAnsi="宋体" w:cs="宋体"/>
                <w:color w:val="000000"/>
                <w:sz w:val="18"/>
                <w:szCs w:val="21"/>
              </w:rPr>
              <w:t>HJ 694-2014</w:t>
            </w:r>
          </w:p>
        </w:tc>
        <w:tc>
          <w:tcPr>
            <w:tcW w:w="135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 酸化</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1</w:t>
            </w:r>
            <w:r>
              <w:rPr>
                <w:rFonts w:hint="eastAsia" w:ascii="宋体" w:hAnsi="宋体" w:cs="宋体"/>
                <w:color w:val="000000"/>
                <w:sz w:val="18"/>
                <w:szCs w:val="21"/>
              </w:rPr>
              <w:t>月</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100</w:t>
            </w:r>
          </w:p>
        </w:tc>
        <w:tc>
          <w:tcPr>
            <w:tcW w:w="150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w:t>
            </w:r>
            <w:r>
              <w:rPr>
                <w:rFonts w:ascii="宋体" w:hAnsi="宋体" w:cs="宋体"/>
                <w:color w:val="000000"/>
                <w:sz w:val="18"/>
                <w:szCs w:val="21"/>
              </w:rPr>
              <w:t>757</w:t>
            </w:r>
            <w:r>
              <w:rPr>
                <w:rFonts w:hint="eastAsia" w:ascii="宋体" w:hAnsi="宋体" w:cs="宋体"/>
                <w:color w:val="000000"/>
                <w:sz w:val="18"/>
                <w:szCs w:val="21"/>
              </w:rPr>
              <w:t>-201</w:t>
            </w:r>
            <w:r>
              <w:rPr>
                <w:rFonts w:ascii="宋体" w:hAnsi="宋体" w:cs="宋体"/>
                <w:color w:val="000000"/>
                <w:sz w:val="18"/>
                <w:szCs w:val="21"/>
              </w:rPr>
              <w:t>5</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六价铬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加NaOH调PH=8</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GB/T7467-1987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456"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粪大肠菌群</w:t>
            </w:r>
          </w:p>
        </w:tc>
        <w:tc>
          <w:tcPr>
            <w:tcW w:w="881"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2h</w:t>
            </w:r>
          </w:p>
        </w:tc>
        <w:tc>
          <w:tcPr>
            <w:tcW w:w="967"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三分之二处</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347.2-2018</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67"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ml（DDTC 法，HCl 2 ml）</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HJ694-2014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50"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总铅</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HNO3，1%，如水样为中性，1 L 水样中加浓 HNO3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785"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总镉</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w:t>
            </w:r>
            <w:r>
              <w:rPr>
                <w:rFonts w:ascii="宋体" w:hAnsi="宋体"/>
                <w:sz w:val="18"/>
                <w:szCs w:val="21"/>
                <w:vertAlign w:val="subscript"/>
              </w:rPr>
              <w:t xml:space="preserve">3 </w:t>
            </w:r>
            <w:r>
              <w:rPr>
                <w:rFonts w:ascii="宋体" w:hAnsi="宋体"/>
                <w:sz w:val="18"/>
                <w:szCs w:val="21"/>
              </w:rPr>
              <w:t>10 ml 酸化</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阴离子表面活性剂</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P 或 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1～5℃冷藏，用 H2SO4酸化， pH 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2d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7494－87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7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悬浮物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1～5℃暗处</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11901－1989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bl>
    <w:p>
      <w:pPr>
        <w:spacing w:line="360" w:lineRule="auto"/>
        <w:ind w:firstLine="560"/>
        <w:rPr>
          <w:sz w:val="28"/>
        </w:rPr>
      </w:pPr>
      <w:r>
        <w:rPr>
          <w:rFonts w:hint="eastAsia"/>
          <w:sz w:val="28"/>
        </w:rPr>
        <w:t>样品</w:t>
      </w:r>
      <w:r>
        <w:rPr>
          <w:sz w:val="28"/>
        </w:rPr>
        <w:t>采集后</w:t>
      </w:r>
      <w:r>
        <w:rPr>
          <w:rFonts w:hint="eastAsia"/>
          <w:sz w:val="28"/>
        </w:rPr>
        <w:t>，</w:t>
      </w:r>
      <w:r>
        <w:rPr>
          <w:sz w:val="28"/>
        </w:rPr>
        <w:t>必须尽快送回实验室，运输过程中</w:t>
      </w:r>
      <w:r>
        <w:rPr>
          <w:rFonts w:hint="eastAsia"/>
          <w:sz w:val="28"/>
        </w:rPr>
        <w:t>做</w:t>
      </w:r>
      <w:r>
        <w:rPr>
          <w:sz w:val="28"/>
        </w:rPr>
        <w:t>到防震、防污、保温。为避免水样在运输过程中震动、碰撞导致损失或沾污</w:t>
      </w:r>
      <w:r>
        <w:rPr>
          <w:rFonts w:hint="eastAsia"/>
          <w:sz w:val="28"/>
        </w:rPr>
        <w:t>，</w:t>
      </w:r>
      <w:r>
        <w:rPr>
          <w:sz w:val="28"/>
        </w:rPr>
        <w:t>将</w:t>
      </w:r>
      <w:r>
        <w:rPr>
          <w:rFonts w:hint="eastAsia"/>
          <w:sz w:val="28"/>
        </w:rPr>
        <w:t>所有采集到的样品进行</w:t>
      </w:r>
      <w:r>
        <w:rPr>
          <w:sz w:val="28"/>
        </w:rPr>
        <w:t>装箱</w:t>
      </w:r>
      <w:r>
        <w:rPr>
          <w:rFonts w:hint="eastAsia"/>
          <w:sz w:val="28"/>
        </w:rPr>
        <w:t>，</w:t>
      </w:r>
      <w:r>
        <w:rPr>
          <w:sz w:val="28"/>
        </w:rPr>
        <w:t>并用泡沫塑料或纸条挤紧</w:t>
      </w:r>
      <w:r>
        <w:rPr>
          <w:rFonts w:hint="eastAsia"/>
          <w:sz w:val="28"/>
        </w:rPr>
        <w:t>，</w:t>
      </w:r>
      <w:r>
        <w:rPr>
          <w:sz w:val="28"/>
        </w:rPr>
        <w:t>在箱顶贴上标记</w:t>
      </w:r>
      <w:r>
        <w:rPr>
          <w:rFonts w:hint="eastAsia"/>
          <w:sz w:val="28"/>
        </w:rPr>
        <w:t>；</w:t>
      </w:r>
      <w:r>
        <w:rPr>
          <w:sz w:val="28"/>
        </w:rPr>
        <w:t>需冷藏的样品</w:t>
      </w:r>
      <w:r>
        <w:rPr>
          <w:rFonts w:hint="eastAsia"/>
          <w:sz w:val="28"/>
        </w:rPr>
        <w:t>，</w:t>
      </w:r>
      <w:r>
        <w:rPr>
          <w:sz w:val="28"/>
        </w:rPr>
        <w:t>采取致冷保存措施</w:t>
      </w:r>
      <w:r>
        <w:rPr>
          <w:rFonts w:hint="eastAsia"/>
          <w:sz w:val="28"/>
        </w:rPr>
        <w:t>；</w:t>
      </w:r>
      <w:r>
        <w:rPr>
          <w:sz w:val="28"/>
        </w:rPr>
        <w:t>冬季采取保温措施</w:t>
      </w:r>
      <w:r>
        <w:rPr>
          <w:rFonts w:hint="eastAsia"/>
          <w:sz w:val="28"/>
        </w:rPr>
        <w:t>，</w:t>
      </w:r>
      <w:r>
        <w:rPr>
          <w:sz w:val="28"/>
        </w:rPr>
        <w:t>以免冻裂样品瓶。</w:t>
      </w:r>
    </w:p>
    <w:p>
      <w:pPr>
        <w:pStyle w:val="3"/>
        <w:spacing w:before="159" w:beforeLines="50" w:after="0" w:line="360" w:lineRule="auto"/>
        <w:rPr>
          <w:rFonts w:ascii="宋体" w:hAnsi="宋体" w:eastAsia="宋体"/>
          <w:sz w:val="28"/>
          <w:szCs w:val="28"/>
        </w:rPr>
      </w:pPr>
      <w:bookmarkStart w:id="10" w:name="_Toc120280539"/>
      <w:r>
        <w:rPr>
          <w:rFonts w:hint="eastAsia" w:ascii="宋体" w:hAnsi="宋体" w:eastAsia="宋体"/>
          <w:sz w:val="28"/>
          <w:szCs w:val="28"/>
        </w:rPr>
        <w:t>六、质量保证</w:t>
      </w:r>
      <w:bookmarkEnd w:id="10"/>
    </w:p>
    <w:p>
      <w:pPr>
        <w:spacing w:before="159" w:beforeLines="50" w:line="360" w:lineRule="auto"/>
        <w:ind w:firstLine="560"/>
        <w:rPr>
          <w:rFonts w:ascii="宋体" w:hAnsi="宋体"/>
          <w:sz w:val="28"/>
          <w:szCs w:val="28"/>
        </w:rPr>
      </w:pPr>
      <w:bookmarkStart w:id="11" w:name="_Toc246476052"/>
      <w:bookmarkStart w:id="12" w:name="_Toc250993957"/>
      <w:r>
        <w:rPr>
          <w:rFonts w:ascii="宋体" w:hAnsi="宋体"/>
          <w:sz w:val="28"/>
          <w:szCs w:val="28"/>
        </w:rPr>
        <w:t>质量控制和质量保证严格执行国家环保局颁发的《环境监测技术规范》和国家有关采样、分析的标准及方法，实施全过程的质量保证。</w:t>
      </w:r>
    </w:p>
    <w:p>
      <w:pPr>
        <w:spacing w:before="159" w:beforeLines="50" w:line="360" w:lineRule="auto"/>
        <w:ind w:firstLine="560"/>
        <w:rPr>
          <w:rFonts w:ascii="宋体" w:hAnsi="宋体"/>
          <w:sz w:val="28"/>
          <w:szCs w:val="28"/>
        </w:rPr>
      </w:pPr>
      <w:r>
        <w:rPr>
          <w:rFonts w:hint="eastAsia" w:ascii="宋体" w:hAnsi="宋体"/>
          <w:sz w:val="28"/>
          <w:szCs w:val="28"/>
        </w:rPr>
        <w:t>6.4.1</w:t>
      </w:r>
      <w:r>
        <w:rPr>
          <w:rFonts w:ascii="宋体" w:hAnsi="宋体"/>
          <w:sz w:val="28"/>
          <w:szCs w:val="28"/>
        </w:rPr>
        <w:t>手工监测方式监测质量保证措施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（1）设</w:t>
      </w:r>
      <w:r>
        <w:rPr>
          <w:rFonts w:ascii="宋体" w:hAnsi="宋体"/>
          <w:sz w:val="28"/>
          <w:szCs w:val="28"/>
        </w:rPr>
        <w:t>有固定的工作场所和必要的工作条件；</w:t>
      </w:r>
      <w:r>
        <w:rPr>
          <w:rFonts w:hint="eastAsia" w:ascii="宋体" w:hAnsi="宋体"/>
          <w:sz w:val="28"/>
          <w:szCs w:val="28"/>
        </w:rPr>
        <w:t>并有</w:t>
      </w:r>
      <w:r>
        <w:rPr>
          <w:rFonts w:ascii="宋体" w:hAnsi="宋体"/>
          <w:sz w:val="28"/>
          <w:szCs w:val="28"/>
        </w:rPr>
        <w:t>健全的环境监测工作和质量管理制度</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具</w:t>
      </w:r>
      <w:r>
        <w:rPr>
          <w:rFonts w:hint="eastAsia" w:ascii="宋体" w:hAnsi="宋体"/>
          <w:sz w:val="28"/>
          <w:szCs w:val="28"/>
        </w:rPr>
        <w:t>备</w:t>
      </w:r>
      <w:r>
        <w:rPr>
          <w:rFonts w:ascii="宋体" w:hAnsi="宋体"/>
          <w:sz w:val="28"/>
          <w:szCs w:val="28"/>
        </w:rPr>
        <w:t>与监测本单位排放污染物相适应的采样、分析等专业设备、设施；</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有两名持有省级环境保护主管部门组织培训的、与监测事项相符的培训证书的人员；</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（5）</w:t>
      </w:r>
      <w:r>
        <w:rPr>
          <w:rFonts w:ascii="宋体" w:hAnsi="宋体"/>
          <w:sz w:val="28"/>
          <w:szCs w:val="28"/>
        </w:rPr>
        <w:t>监测所用计量仪器均应经过计量部门检定合格并在有效期内使用</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（6）我公司厂界大气委托湖南华科检测技术有限公司进行监测。湖南华科检测技术有限公司具有相应资质；</w:t>
      </w:r>
    </w:p>
    <w:p>
      <w:pPr>
        <w:spacing w:line="360" w:lineRule="auto"/>
        <w:ind w:firstLine="560"/>
        <w:rPr>
          <w:rFonts w:ascii="宋体" w:hAnsi="宋体"/>
          <w:sz w:val="28"/>
          <w:szCs w:val="28"/>
        </w:rPr>
      </w:pPr>
      <w:r>
        <w:rPr>
          <w:rFonts w:hint="eastAsia" w:ascii="宋体" w:hAnsi="宋体"/>
          <w:sz w:val="28"/>
          <w:szCs w:val="28"/>
        </w:rPr>
        <w:t xml:space="preserve">（7）我公司废水PH值、氨氮、动植物油、粪大肠杆菌、化学需氧量、六价铬、色度、石油类、五日生化需氧量、悬浮物、阴离子表面活性剂、总氮、总镉、总铬、总汞、总磷、总铅、总砷、烷基汞等十九项目前委托湖南华科检测技术有限公司进行监测。 </w:t>
      </w:r>
    </w:p>
    <w:p>
      <w:pPr>
        <w:spacing w:line="360" w:lineRule="auto"/>
        <w:ind w:firstLine="560"/>
        <w:rPr>
          <w:rFonts w:ascii="宋体" w:hAnsi="宋体"/>
          <w:sz w:val="28"/>
          <w:szCs w:val="28"/>
        </w:rPr>
      </w:pPr>
      <w:r>
        <w:rPr>
          <w:rFonts w:hint="eastAsia" w:ascii="宋体" w:hAnsi="宋体"/>
          <w:sz w:val="28"/>
          <w:szCs w:val="28"/>
        </w:rPr>
        <w:t>6.4.2</w:t>
      </w:r>
      <w:r>
        <w:rPr>
          <w:rFonts w:ascii="宋体" w:hAnsi="宋体"/>
          <w:sz w:val="28"/>
          <w:szCs w:val="28"/>
        </w:rPr>
        <w:t>自动监测方式监测质量保证措施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w:t>
      </w:r>
      <w:r>
        <w:rPr>
          <w:rFonts w:ascii="宋体" w:hAnsi="宋体"/>
          <w:sz w:val="28"/>
          <w:szCs w:val="28"/>
        </w:rPr>
        <w:t>按照环境监测技术规范和自动监控技术规范的要求安装自动监测设备，与环境保护主管部门联网，并通过环境保护主管部门验收；</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自动监测设备</w:t>
      </w:r>
      <w:r>
        <w:rPr>
          <w:rFonts w:hint="eastAsia" w:ascii="宋体" w:hAnsi="宋体"/>
          <w:sz w:val="28"/>
          <w:szCs w:val="28"/>
        </w:rPr>
        <w:t>交由湖南轩峻科技有限公司进行运营管理，</w:t>
      </w:r>
      <w:r>
        <w:rPr>
          <w:rFonts w:ascii="宋体" w:hAnsi="宋体"/>
          <w:sz w:val="28"/>
          <w:szCs w:val="28"/>
        </w:rPr>
        <w:t>对自动监测设备进行日常运行维护</w:t>
      </w:r>
      <w:r>
        <w:rPr>
          <w:rFonts w:hint="eastAsia" w:ascii="宋体" w:hAnsi="宋体"/>
          <w:sz w:val="28"/>
          <w:szCs w:val="28"/>
        </w:rPr>
        <w:t>，每季度委托湖南华科检测技术有限公司对自动监测设备进行比对；</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具有健全的自动监测设备运行管理工作和质量管理制度；</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p>
    <w:p>
      <w:pPr>
        <w:spacing w:line="360" w:lineRule="auto"/>
        <w:ind w:firstLine="560"/>
        <w:rPr>
          <w:rFonts w:ascii="宋体" w:hAnsi="宋体"/>
          <w:sz w:val="28"/>
          <w:szCs w:val="28"/>
        </w:rPr>
      </w:pPr>
      <w:r>
        <w:rPr>
          <w:rFonts w:ascii="宋体" w:hAnsi="宋体"/>
          <w:sz w:val="28"/>
          <w:szCs w:val="28"/>
        </w:rPr>
        <w:t>监测分析方法采用国家有关部门颁布的标准（或推荐）分析方法，监测人员经过考核并持有合格证书</w:t>
      </w:r>
      <w:r>
        <w:rPr>
          <w:rFonts w:hint="eastAsia" w:ascii="宋体" w:hAnsi="宋体"/>
          <w:sz w:val="28"/>
          <w:szCs w:val="28"/>
        </w:rPr>
        <w:t>；</w:t>
      </w:r>
      <w:r>
        <w:rPr>
          <w:rFonts w:ascii="宋体" w:hAnsi="宋体"/>
          <w:sz w:val="28"/>
          <w:szCs w:val="28"/>
        </w:rPr>
        <w:t>保证监测分析结果的准确可靠性，在监测期间，样品采集、运输、保存参考国家标准和《环境水质监测质量保证手册》（第二版，1994年）的技术要求进行，每批样品分析的同时做质控样品和平行双样。质控数据应占每批分析样品总数的10％～20％</w:t>
      </w:r>
      <w:r>
        <w:rPr>
          <w:rFonts w:hint="eastAsia" w:ascii="宋体" w:hAnsi="宋体"/>
          <w:sz w:val="28"/>
          <w:szCs w:val="28"/>
        </w:rPr>
        <w:t>；</w:t>
      </w:r>
      <w:r>
        <w:rPr>
          <w:rFonts w:ascii="宋体" w:hAnsi="宋体"/>
          <w:sz w:val="28"/>
          <w:szCs w:val="28"/>
        </w:rPr>
        <w:t>监测数据严格实行三级审核制度，经过校对、校核，最后由技术负责人审定。</w:t>
      </w:r>
    </w:p>
    <w:p>
      <w:pPr>
        <w:pStyle w:val="2"/>
        <w:spacing w:before="478" w:beforeLines="150" w:after="159" w:afterLines="50"/>
        <w:rPr>
          <w:rFonts w:ascii="宋体" w:hAnsi="宋体"/>
          <w:sz w:val="28"/>
          <w:szCs w:val="28"/>
        </w:rPr>
      </w:pPr>
      <w:bookmarkStart w:id="13" w:name="_Toc120280540"/>
      <w:r>
        <w:rPr>
          <w:rFonts w:hint="eastAsia" w:ascii="宋体" w:hAnsi="宋体"/>
          <w:sz w:val="28"/>
          <w:szCs w:val="28"/>
        </w:rPr>
        <w:t>七. 监测结果公开时限</w:t>
      </w:r>
      <w:bookmarkEnd w:id="11"/>
      <w:bookmarkEnd w:id="12"/>
      <w:bookmarkEnd w:id="13"/>
    </w:p>
    <w:p>
      <w:pPr>
        <w:spacing w:line="360" w:lineRule="auto"/>
        <w:ind w:firstLine="560"/>
        <w:rPr>
          <w:rFonts w:ascii="宋体" w:hAnsi="宋体" w:cs="宋体"/>
          <w:sz w:val="28"/>
          <w:szCs w:val="28"/>
        </w:rPr>
      </w:pPr>
      <w:r>
        <w:rPr>
          <w:rFonts w:hint="default" w:ascii="宋体" w:hAnsi="宋体" w:cs="宋体"/>
          <w:sz w:val="28"/>
          <w:szCs w:val="28"/>
          <w:lang w:val="en-US"/>
        </w:rPr>
        <w:t>1</w:t>
      </w:r>
      <w:r>
        <w:rPr>
          <w:rFonts w:hint="eastAsia" w:ascii="宋体" w:hAnsi="宋体" w:cs="宋体"/>
          <w:sz w:val="28"/>
          <w:szCs w:val="28"/>
          <w:lang w:val="en-US" w:eastAsia="zh-CN"/>
        </w:rPr>
        <w:t>、</w:t>
      </w:r>
      <w:r>
        <w:rPr>
          <w:rFonts w:hint="eastAsia" w:ascii="宋体" w:hAnsi="宋体" w:cs="宋体"/>
          <w:sz w:val="28"/>
          <w:szCs w:val="28"/>
        </w:rPr>
        <w:t>企业基础信息、企业自行监测方案、检测报告结果，委托武陵源区生态环境分局进行信息公开。</w:t>
      </w:r>
    </w:p>
    <w:p>
      <w:pPr>
        <w:spacing w:line="360" w:lineRule="auto"/>
        <w:ind w:firstLine="560"/>
        <w:rPr>
          <w:rFonts w:ascii="宋体" w:hAnsi="宋体" w:cs="宋体"/>
          <w:sz w:val="28"/>
          <w:szCs w:val="28"/>
        </w:rPr>
      </w:pPr>
      <w:r>
        <w:rPr>
          <w:rFonts w:hint="default" w:ascii="宋体" w:hAnsi="宋体" w:cs="宋体"/>
          <w:sz w:val="28"/>
          <w:szCs w:val="28"/>
          <w:lang w:val="en-US"/>
        </w:rPr>
        <w:t>2</w:t>
      </w:r>
      <w:r>
        <w:rPr>
          <w:rFonts w:hint="eastAsia" w:ascii="宋体" w:hAnsi="宋体" w:cs="宋体"/>
          <w:sz w:val="28"/>
          <w:szCs w:val="28"/>
          <w:lang w:val="en-US" w:eastAsia="zh-CN"/>
        </w:rPr>
        <w:t>、</w:t>
      </w:r>
      <w:r>
        <w:rPr>
          <w:rFonts w:hint="eastAsia" w:ascii="宋体" w:hAnsi="宋体" w:cs="宋体"/>
          <w:sz w:val="28"/>
          <w:szCs w:val="28"/>
        </w:rPr>
        <w:t xml:space="preserve"> 每年一月底前公布排污许可执行年度报告。</w:t>
      </w:r>
    </w:p>
    <w:p>
      <w:pPr>
        <w:rPr>
          <w:rFonts w:ascii="宋体" w:hAnsi="宋体" w:cs="宋体"/>
          <w:sz w:val="28"/>
          <w:szCs w:val="28"/>
        </w:rPr>
      </w:pPr>
    </w:p>
    <w:p>
      <w:pPr>
        <w:rPr>
          <w:rFonts w:ascii="宋体" w:hAnsi="宋体" w:cs="宋体"/>
          <w:szCs w:val="21"/>
        </w:rPr>
      </w:pPr>
      <w:r>
        <w:rPr>
          <w:rFonts w:ascii="宋体" w:hAnsi="宋体" w:cs="宋体"/>
          <w:szCs w:val="21"/>
        </w:rPr>
        <w:drawing>
          <wp:inline distT="0" distB="0" distL="0" distR="0">
            <wp:extent cx="5711825" cy="42214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08945" cy="4219655"/>
                    </a:xfrm>
                    <a:prstGeom prst="rect">
                      <a:avLst/>
                    </a:prstGeom>
                  </pic:spPr>
                </pic:pic>
              </a:graphicData>
            </a:graphic>
          </wp:inline>
        </w:drawing>
      </w:r>
    </w:p>
    <w:p>
      <w:pPr>
        <w:rPr>
          <w:rFonts w:ascii="宋体" w:hAnsi="宋体" w:cs="宋体"/>
          <w:szCs w:val="21"/>
        </w:rPr>
      </w:pPr>
    </w:p>
    <w:p>
      <w:pPr>
        <w:rPr>
          <w:rFonts w:ascii="宋体" w:hAnsi="宋体" w:cs="宋体"/>
          <w:szCs w:val="21"/>
        </w:rPr>
        <w:sectPr>
          <w:pgSz w:w="11906" w:h="16838"/>
          <w:pgMar w:top="1080" w:right="1440" w:bottom="1080" w:left="1440" w:header="624" w:footer="992" w:gutter="0"/>
          <w:pgNumType w:start="1"/>
          <w:cols w:space="720" w:num="1"/>
          <w:docGrid w:type="lines" w:linePitch="319" w:charSpace="0"/>
        </w:sectPr>
      </w:pPr>
      <w:r>
        <w:rPr>
          <w:rFonts w:ascii="宋体" w:hAnsi="宋体" w:cs="宋体"/>
          <w:szCs w:val="21"/>
        </w:rPr>
        <w:drawing>
          <wp:inline distT="0" distB="0" distL="114300" distR="114300">
            <wp:extent cx="5683885" cy="4262755"/>
            <wp:effectExtent l="0" t="0" r="12065" b="4445"/>
            <wp:docPr id="5" name="图片 5" descr="fd20866e798ecfd57935c9813611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20866e798ecfd57935c981361158c"/>
                    <pic:cNvPicPr>
                      <a:picLocks noChangeAspect="1"/>
                    </pic:cNvPicPr>
                  </pic:nvPicPr>
                  <pic:blipFill>
                    <a:blip r:embed="rId9"/>
                    <a:stretch>
                      <a:fillRect/>
                    </a:stretch>
                  </pic:blipFill>
                  <pic:spPr>
                    <a:xfrm>
                      <a:off x="0" y="0"/>
                      <a:ext cx="5683885" cy="4262755"/>
                    </a:xfrm>
                    <a:prstGeom prst="rect">
                      <a:avLst/>
                    </a:prstGeom>
                  </pic:spPr>
                </pic:pic>
              </a:graphicData>
            </a:graphic>
          </wp:inline>
        </w:drawing>
      </w:r>
    </w:p>
    <w:p>
      <w:pPr>
        <w:rPr>
          <w:rFonts w:ascii="宋体" w:hAnsi="宋体" w:cs="宋体"/>
          <w:szCs w:val="21"/>
        </w:rPr>
      </w:pPr>
      <w:r>
        <w:drawing>
          <wp:inline distT="0" distB="0" distL="0" distR="0">
            <wp:extent cx="5429885" cy="4255770"/>
            <wp:effectExtent l="0" t="0" r="0" b="0"/>
            <wp:docPr id="7" name="图片 0" descr="01年污水厂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01年污水厂环评1.jpg"/>
                    <pic:cNvPicPr>
                      <a:picLocks noChangeAspect="1"/>
                    </pic:cNvPicPr>
                  </pic:nvPicPr>
                  <pic:blipFill>
                    <a:blip r:embed="rId10" cstate="print"/>
                    <a:stretch>
                      <a:fillRect/>
                    </a:stretch>
                  </pic:blipFill>
                  <pic:spPr>
                    <a:xfrm>
                      <a:off x="0" y="0"/>
                      <a:ext cx="5432774" cy="4258121"/>
                    </a:xfrm>
                    <a:prstGeom prst="rect">
                      <a:avLst/>
                    </a:prstGeom>
                  </pic:spPr>
                </pic:pic>
              </a:graphicData>
            </a:graphic>
          </wp:inline>
        </w:drawing>
      </w:r>
      <w:r>
        <w:drawing>
          <wp:inline distT="0" distB="0" distL="0" distR="0">
            <wp:extent cx="5282565" cy="4391025"/>
            <wp:effectExtent l="0" t="0" r="0" b="0"/>
            <wp:docPr id="8" name="图片 1" descr="01年污水厂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1年污水厂环评2.jpg"/>
                    <pic:cNvPicPr>
                      <a:picLocks noChangeAspect="1"/>
                    </pic:cNvPicPr>
                  </pic:nvPicPr>
                  <pic:blipFill>
                    <a:blip r:embed="rId11" cstate="print"/>
                    <a:stretch>
                      <a:fillRect/>
                    </a:stretch>
                  </pic:blipFill>
                  <pic:spPr>
                    <a:xfrm>
                      <a:off x="0" y="0"/>
                      <a:ext cx="5278120" cy="4387157"/>
                    </a:xfrm>
                    <a:prstGeom prst="rect">
                      <a:avLst/>
                    </a:prstGeom>
                  </pic:spPr>
                </pic:pic>
              </a:graphicData>
            </a:graphic>
          </wp:inline>
        </w:drawing>
      </w:r>
    </w:p>
    <w:p>
      <w:pPr>
        <w:spacing w:line="720" w:lineRule="auto"/>
        <w:rPr>
          <w:sz w:val="28"/>
          <w:szCs w:val="28"/>
        </w:rPr>
      </w:pPr>
      <w:r>
        <w:rPr>
          <w:sz w:val="28"/>
          <w:szCs w:val="28"/>
        </w:rPr>
        <w:drawing>
          <wp:inline distT="0" distB="0" distL="0" distR="0">
            <wp:extent cx="5305425" cy="3521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01117" cy="3519039"/>
                    </a:xfrm>
                    <a:prstGeom prst="rect">
                      <a:avLst/>
                    </a:prstGeom>
                  </pic:spPr>
                </pic:pic>
              </a:graphicData>
            </a:graphic>
          </wp:inline>
        </w:drawing>
      </w:r>
      <w:r>
        <w:rPr>
          <w:rFonts w:hint="eastAsia"/>
          <w:sz w:val="28"/>
          <w:szCs w:val="28"/>
        </w:rPr>
        <w:t xml:space="preserve">   </w:t>
      </w:r>
    </w:p>
    <w:p>
      <w:pPr>
        <w:spacing w:line="720" w:lineRule="auto"/>
        <w:rPr>
          <w:sz w:val="28"/>
          <w:szCs w:val="28"/>
        </w:rPr>
      </w:pPr>
      <w:r>
        <w:drawing>
          <wp:inline distT="0" distB="0" distL="0" distR="0">
            <wp:extent cx="5045710" cy="33750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2184" cy="3386115"/>
                    </a:xfrm>
                    <a:prstGeom prst="rect">
                      <a:avLst/>
                    </a:prstGeom>
                  </pic:spPr>
                </pic:pic>
              </a:graphicData>
            </a:graphic>
          </wp:inline>
        </w:drawing>
      </w:r>
    </w:p>
    <w:p>
      <w:pPr>
        <w:spacing w:line="720" w:lineRule="auto"/>
        <w:rPr>
          <w:sz w:val="28"/>
          <w:szCs w:val="28"/>
        </w:rPr>
      </w:pPr>
    </w:p>
    <w:sectPr>
      <w:headerReference r:id="rId4" w:type="default"/>
      <w:footerReference r:id="rId5" w:type="default"/>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573409"/>
      <w:docPartObj>
        <w:docPartGallery w:val="autotext"/>
      </w:docPartObj>
    </w:sdtPr>
    <w:sdtContent>
      <w:p>
        <w:pPr>
          <w:pStyle w:val="14"/>
          <w:ind w:firstLine="480"/>
        </w:pPr>
        <w:r>
          <w:fldChar w:fldCharType="begin"/>
        </w:r>
        <w:r>
          <w:instrText xml:space="preserve"> PAGE   \* MERGEFORMAT </w:instrText>
        </w:r>
        <w:r>
          <w:fldChar w:fldCharType="separate"/>
        </w:r>
        <w:r>
          <w:rPr>
            <w:lang w:val="zh-CN"/>
          </w:rPr>
          <w:t>4</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新宋体" w:hAnsi="新宋体" w:eastAsia="新宋体"/>
        <w:sz w:val="21"/>
        <w:szCs w:val="21"/>
      </w:rPr>
    </w:pPr>
    <w:r>
      <w:rPr>
        <w:rStyle w:val="28"/>
        <w:rFonts w:hint="eastAsia" w:ascii="新宋体" w:hAnsi="新宋体" w:eastAsia="新宋体"/>
        <w:sz w:val="21"/>
        <w:szCs w:val="21"/>
      </w:rPr>
      <w:t>第</w:t>
    </w:r>
    <w:r>
      <w:rPr>
        <w:rStyle w:val="28"/>
        <w:rFonts w:eastAsia="新宋体"/>
        <w:sz w:val="21"/>
        <w:szCs w:val="21"/>
      </w:rPr>
      <w:fldChar w:fldCharType="begin"/>
    </w:r>
    <w:r>
      <w:rPr>
        <w:rStyle w:val="28"/>
        <w:rFonts w:eastAsia="新宋体"/>
        <w:sz w:val="21"/>
        <w:szCs w:val="21"/>
      </w:rPr>
      <w:instrText xml:space="preserve"> PAGE </w:instrText>
    </w:r>
    <w:r>
      <w:rPr>
        <w:rStyle w:val="28"/>
        <w:rFonts w:eastAsia="新宋体"/>
        <w:sz w:val="21"/>
        <w:szCs w:val="21"/>
      </w:rPr>
      <w:fldChar w:fldCharType="separate"/>
    </w:r>
    <w:r>
      <w:rPr>
        <w:rStyle w:val="28"/>
        <w:rFonts w:eastAsia="新宋体"/>
        <w:sz w:val="21"/>
        <w:szCs w:val="21"/>
      </w:rPr>
      <w:t>2</w:t>
    </w:r>
    <w:r>
      <w:rPr>
        <w:rStyle w:val="28"/>
        <w:rFonts w:eastAsia="新宋体"/>
        <w:sz w:val="21"/>
        <w:szCs w:val="21"/>
      </w:rPr>
      <w:fldChar w:fldCharType="end"/>
    </w:r>
    <w:r>
      <w:rPr>
        <w:rStyle w:val="28"/>
        <w:rFonts w:hint="eastAsia" w:ascii="新宋体" w:hAnsi="新宋体" w:eastAsia="新宋体"/>
        <w:sz w:val="21"/>
        <w:szCs w:val="21"/>
      </w:rPr>
      <w:t>页共</w:t>
    </w:r>
    <w:r>
      <w:rPr>
        <w:rStyle w:val="28"/>
        <w:rFonts w:hint="eastAsia" w:eastAsia="新宋体"/>
        <w:sz w:val="21"/>
        <w:szCs w:val="21"/>
      </w:rPr>
      <w:t>9</w:t>
    </w:r>
    <w:r>
      <w:rPr>
        <w:rStyle w:val="28"/>
        <w:rFonts w:hint="eastAsia" w:ascii="新宋体" w:hAnsi="新宋体" w:eastAsia="新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45C0C"/>
    <w:multiLevelType w:val="multilevel"/>
    <w:tmpl w:val="07A45C0C"/>
    <w:lvl w:ilvl="0" w:tentative="0">
      <w:start w:val="1"/>
      <w:numFmt w:val="decimal"/>
      <w:lvlText w:val="%1、"/>
      <w:lvlJc w:val="left"/>
      <w:pPr>
        <w:ind w:left="1004" w:hanging="720"/>
      </w:pPr>
      <w:rPr>
        <w:rFonts w:ascii="宋体" w:hAnsi="Times New Roman" w:eastAsia="宋体" w:cs="宋体"/>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
    <w:nsid w:val="59531D85"/>
    <w:multiLevelType w:val="singleLevel"/>
    <w:tmpl w:val="59531D85"/>
    <w:lvl w:ilvl="0" w:tentative="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920"/>
    <w:rsid w:val="00001EF2"/>
    <w:rsid w:val="00003230"/>
    <w:rsid w:val="0000727A"/>
    <w:rsid w:val="000127A5"/>
    <w:rsid w:val="00020186"/>
    <w:rsid w:val="000271C2"/>
    <w:rsid w:val="00031F24"/>
    <w:rsid w:val="000340A4"/>
    <w:rsid w:val="00053CE8"/>
    <w:rsid w:val="00063A2F"/>
    <w:rsid w:val="000645BA"/>
    <w:rsid w:val="000674AE"/>
    <w:rsid w:val="00075D8A"/>
    <w:rsid w:val="00085996"/>
    <w:rsid w:val="00090235"/>
    <w:rsid w:val="00092166"/>
    <w:rsid w:val="000B4641"/>
    <w:rsid w:val="000C3A23"/>
    <w:rsid w:val="000D3B7B"/>
    <w:rsid w:val="000D62EA"/>
    <w:rsid w:val="000E0654"/>
    <w:rsid w:val="0010371B"/>
    <w:rsid w:val="00112F0B"/>
    <w:rsid w:val="00117873"/>
    <w:rsid w:val="0013660B"/>
    <w:rsid w:val="001417F1"/>
    <w:rsid w:val="00142D61"/>
    <w:rsid w:val="001460E5"/>
    <w:rsid w:val="001606B0"/>
    <w:rsid w:val="00164FEE"/>
    <w:rsid w:val="001667C8"/>
    <w:rsid w:val="001756B2"/>
    <w:rsid w:val="00191390"/>
    <w:rsid w:val="001A47AE"/>
    <w:rsid w:val="001B5196"/>
    <w:rsid w:val="001C57EB"/>
    <w:rsid w:val="001D2CFF"/>
    <w:rsid w:val="001E2905"/>
    <w:rsid w:val="001E75D9"/>
    <w:rsid w:val="002310B4"/>
    <w:rsid w:val="00231C7D"/>
    <w:rsid w:val="00233EFD"/>
    <w:rsid w:val="002445A1"/>
    <w:rsid w:val="00263BF3"/>
    <w:rsid w:val="002716E6"/>
    <w:rsid w:val="00277569"/>
    <w:rsid w:val="002924DA"/>
    <w:rsid w:val="00294CD4"/>
    <w:rsid w:val="002A2634"/>
    <w:rsid w:val="002A57B8"/>
    <w:rsid w:val="002A5EA0"/>
    <w:rsid w:val="002A6107"/>
    <w:rsid w:val="002B322B"/>
    <w:rsid w:val="002E5920"/>
    <w:rsid w:val="002E6A5E"/>
    <w:rsid w:val="002F3E26"/>
    <w:rsid w:val="002F78A3"/>
    <w:rsid w:val="00301531"/>
    <w:rsid w:val="0031378B"/>
    <w:rsid w:val="00354263"/>
    <w:rsid w:val="00364C41"/>
    <w:rsid w:val="00364ED2"/>
    <w:rsid w:val="00383FA2"/>
    <w:rsid w:val="00391D54"/>
    <w:rsid w:val="003A0C13"/>
    <w:rsid w:val="003D05BC"/>
    <w:rsid w:val="003F061F"/>
    <w:rsid w:val="004143F9"/>
    <w:rsid w:val="004461C3"/>
    <w:rsid w:val="00462EC8"/>
    <w:rsid w:val="00474FEF"/>
    <w:rsid w:val="0047742D"/>
    <w:rsid w:val="004A0CBE"/>
    <w:rsid w:val="004B0B13"/>
    <w:rsid w:val="004B6C1A"/>
    <w:rsid w:val="004C0746"/>
    <w:rsid w:val="004C4E8D"/>
    <w:rsid w:val="004C5E81"/>
    <w:rsid w:val="004D59C4"/>
    <w:rsid w:val="004E1A36"/>
    <w:rsid w:val="005131FE"/>
    <w:rsid w:val="00551E90"/>
    <w:rsid w:val="00571BAA"/>
    <w:rsid w:val="00575980"/>
    <w:rsid w:val="005A7E4E"/>
    <w:rsid w:val="005D1687"/>
    <w:rsid w:val="005E347D"/>
    <w:rsid w:val="005F05C9"/>
    <w:rsid w:val="006136A6"/>
    <w:rsid w:val="00617A39"/>
    <w:rsid w:val="006301EC"/>
    <w:rsid w:val="00637B3D"/>
    <w:rsid w:val="006437E1"/>
    <w:rsid w:val="006529FF"/>
    <w:rsid w:val="00670F63"/>
    <w:rsid w:val="00672704"/>
    <w:rsid w:val="00680C07"/>
    <w:rsid w:val="0069661C"/>
    <w:rsid w:val="006B4CE4"/>
    <w:rsid w:val="006C7160"/>
    <w:rsid w:val="00700B0F"/>
    <w:rsid w:val="00702075"/>
    <w:rsid w:val="00715CF9"/>
    <w:rsid w:val="00717FB4"/>
    <w:rsid w:val="007223E2"/>
    <w:rsid w:val="00732832"/>
    <w:rsid w:val="00734FF8"/>
    <w:rsid w:val="007577BC"/>
    <w:rsid w:val="007729B3"/>
    <w:rsid w:val="00775043"/>
    <w:rsid w:val="0078487B"/>
    <w:rsid w:val="00787481"/>
    <w:rsid w:val="00787F37"/>
    <w:rsid w:val="00791C6A"/>
    <w:rsid w:val="007A0B6C"/>
    <w:rsid w:val="007B0AB6"/>
    <w:rsid w:val="007D0DD0"/>
    <w:rsid w:val="007E219D"/>
    <w:rsid w:val="007F6877"/>
    <w:rsid w:val="007F6C35"/>
    <w:rsid w:val="00807ADB"/>
    <w:rsid w:val="008120DA"/>
    <w:rsid w:val="008153EA"/>
    <w:rsid w:val="00842D25"/>
    <w:rsid w:val="008564C9"/>
    <w:rsid w:val="00857231"/>
    <w:rsid w:val="00862772"/>
    <w:rsid w:val="00875AC0"/>
    <w:rsid w:val="0088133A"/>
    <w:rsid w:val="008849A3"/>
    <w:rsid w:val="008959CA"/>
    <w:rsid w:val="008C3AF7"/>
    <w:rsid w:val="008D159B"/>
    <w:rsid w:val="008D1BA7"/>
    <w:rsid w:val="008F5E3D"/>
    <w:rsid w:val="00902078"/>
    <w:rsid w:val="0092466C"/>
    <w:rsid w:val="00936543"/>
    <w:rsid w:val="00944545"/>
    <w:rsid w:val="00952182"/>
    <w:rsid w:val="00961F80"/>
    <w:rsid w:val="0097302C"/>
    <w:rsid w:val="009931E8"/>
    <w:rsid w:val="009B4BBF"/>
    <w:rsid w:val="009C7581"/>
    <w:rsid w:val="009E105F"/>
    <w:rsid w:val="009F3893"/>
    <w:rsid w:val="00A11F98"/>
    <w:rsid w:val="00A95290"/>
    <w:rsid w:val="00A9740E"/>
    <w:rsid w:val="00AA63C2"/>
    <w:rsid w:val="00AB2DFC"/>
    <w:rsid w:val="00AD66C2"/>
    <w:rsid w:val="00AD6BFF"/>
    <w:rsid w:val="00AE221A"/>
    <w:rsid w:val="00AE315B"/>
    <w:rsid w:val="00AE3B54"/>
    <w:rsid w:val="00AE5322"/>
    <w:rsid w:val="00B02547"/>
    <w:rsid w:val="00B0555D"/>
    <w:rsid w:val="00B13E9D"/>
    <w:rsid w:val="00B14D6F"/>
    <w:rsid w:val="00B23CD8"/>
    <w:rsid w:val="00B6239C"/>
    <w:rsid w:val="00B80565"/>
    <w:rsid w:val="00B97EDB"/>
    <w:rsid w:val="00BA0309"/>
    <w:rsid w:val="00BA27FF"/>
    <w:rsid w:val="00BF4E85"/>
    <w:rsid w:val="00BF6DDE"/>
    <w:rsid w:val="00C07DF5"/>
    <w:rsid w:val="00C13603"/>
    <w:rsid w:val="00C3140F"/>
    <w:rsid w:val="00C4514E"/>
    <w:rsid w:val="00C459BB"/>
    <w:rsid w:val="00C50D2B"/>
    <w:rsid w:val="00C65483"/>
    <w:rsid w:val="00C813D0"/>
    <w:rsid w:val="00C91516"/>
    <w:rsid w:val="00C919A9"/>
    <w:rsid w:val="00C96300"/>
    <w:rsid w:val="00CA00D9"/>
    <w:rsid w:val="00CA76F5"/>
    <w:rsid w:val="00CA7E1E"/>
    <w:rsid w:val="00CB01A7"/>
    <w:rsid w:val="00CB53A6"/>
    <w:rsid w:val="00CB6960"/>
    <w:rsid w:val="00CB6FFF"/>
    <w:rsid w:val="00CB74B0"/>
    <w:rsid w:val="00CC261F"/>
    <w:rsid w:val="00CC362E"/>
    <w:rsid w:val="00CC5B1F"/>
    <w:rsid w:val="00CD4946"/>
    <w:rsid w:val="00D1739B"/>
    <w:rsid w:val="00D21C69"/>
    <w:rsid w:val="00D34F5F"/>
    <w:rsid w:val="00D40670"/>
    <w:rsid w:val="00D42DB1"/>
    <w:rsid w:val="00D6364F"/>
    <w:rsid w:val="00D7408C"/>
    <w:rsid w:val="00D74F24"/>
    <w:rsid w:val="00D82FEF"/>
    <w:rsid w:val="00D83293"/>
    <w:rsid w:val="00D86313"/>
    <w:rsid w:val="00DA0C67"/>
    <w:rsid w:val="00DB7B60"/>
    <w:rsid w:val="00DC06BC"/>
    <w:rsid w:val="00DC479D"/>
    <w:rsid w:val="00DD142F"/>
    <w:rsid w:val="00DE36C9"/>
    <w:rsid w:val="00E00FA3"/>
    <w:rsid w:val="00E220BC"/>
    <w:rsid w:val="00E228A8"/>
    <w:rsid w:val="00E30184"/>
    <w:rsid w:val="00E3679F"/>
    <w:rsid w:val="00E52CC2"/>
    <w:rsid w:val="00E76274"/>
    <w:rsid w:val="00E8237B"/>
    <w:rsid w:val="00E85D47"/>
    <w:rsid w:val="00EA22B0"/>
    <w:rsid w:val="00EC28A9"/>
    <w:rsid w:val="00EF024D"/>
    <w:rsid w:val="00EF6414"/>
    <w:rsid w:val="00F0340F"/>
    <w:rsid w:val="00F42FB4"/>
    <w:rsid w:val="00F715F1"/>
    <w:rsid w:val="00F7628D"/>
    <w:rsid w:val="00F77209"/>
    <w:rsid w:val="00F84426"/>
    <w:rsid w:val="00F9106C"/>
    <w:rsid w:val="00FB2D8D"/>
    <w:rsid w:val="00FC354A"/>
    <w:rsid w:val="00FC3F05"/>
    <w:rsid w:val="00FC5F2D"/>
    <w:rsid w:val="00FC6A08"/>
    <w:rsid w:val="00FC7419"/>
    <w:rsid w:val="00FF6B95"/>
    <w:rsid w:val="00FF7932"/>
    <w:rsid w:val="01241864"/>
    <w:rsid w:val="03666773"/>
    <w:rsid w:val="05A66C6B"/>
    <w:rsid w:val="064C2FC1"/>
    <w:rsid w:val="0B6B06C4"/>
    <w:rsid w:val="0C0754EB"/>
    <w:rsid w:val="117F2E0E"/>
    <w:rsid w:val="13EE6037"/>
    <w:rsid w:val="16D43CC5"/>
    <w:rsid w:val="18687B39"/>
    <w:rsid w:val="19FB7B4F"/>
    <w:rsid w:val="221F06A7"/>
    <w:rsid w:val="238B129D"/>
    <w:rsid w:val="292635C9"/>
    <w:rsid w:val="299707F4"/>
    <w:rsid w:val="2A9D4F15"/>
    <w:rsid w:val="30284E85"/>
    <w:rsid w:val="32E2403B"/>
    <w:rsid w:val="36C97D69"/>
    <w:rsid w:val="49561236"/>
    <w:rsid w:val="4A1665B7"/>
    <w:rsid w:val="4B173A81"/>
    <w:rsid w:val="4B964785"/>
    <w:rsid w:val="53BD00C0"/>
    <w:rsid w:val="54266CA6"/>
    <w:rsid w:val="5B0A5D72"/>
    <w:rsid w:val="63C90DF7"/>
    <w:rsid w:val="645C48E3"/>
    <w:rsid w:val="78D25463"/>
    <w:rsid w:val="797E3B81"/>
    <w:rsid w:val="7FB21A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26">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widowControl/>
      <w:adjustRightInd w:val="0"/>
      <w:snapToGrid w:val="0"/>
      <w:spacing w:line="360" w:lineRule="auto"/>
      <w:ind w:left="2520" w:leftChars="1200" w:firstLine="200" w:firstLineChars="200"/>
      <w:jc w:val="left"/>
    </w:pPr>
    <w:rPr>
      <w:rFonts w:ascii="Times New Roman" w:hAnsi="Times New Roman" w:eastAsia="宋体" w:cs="黑体"/>
      <w:kern w:val="0"/>
      <w:sz w:val="22"/>
    </w:rPr>
  </w:style>
  <w:style w:type="paragraph" w:styleId="5">
    <w:name w:val="annotation text"/>
    <w:basedOn w:val="1"/>
    <w:link w:val="54"/>
    <w:semiHidden/>
    <w:qFormat/>
    <w:uiPriority w:val="99"/>
    <w:pPr>
      <w:jc w:val="left"/>
    </w:pPr>
    <w:rPr>
      <w:rFonts w:ascii="Times New Roman" w:hAnsi="Times New Roman" w:eastAsia="宋体" w:cs="Times New Roman"/>
      <w:sz w:val="24"/>
      <w:szCs w:val="24"/>
    </w:rPr>
  </w:style>
  <w:style w:type="paragraph" w:styleId="6">
    <w:name w:val="Body Text"/>
    <w:basedOn w:val="1"/>
    <w:next w:val="1"/>
    <w:link w:val="53"/>
    <w:semiHidden/>
    <w:qFormat/>
    <w:uiPriority w:val="99"/>
    <w:pPr>
      <w:adjustRightInd w:val="0"/>
      <w:spacing w:after="120"/>
      <w:textAlignment w:val="baseline"/>
    </w:pPr>
    <w:rPr>
      <w:rFonts w:ascii="Times New Roman" w:hAnsi="Times New Roman" w:eastAsia="宋体" w:cs="Times New Roman"/>
      <w:sz w:val="24"/>
      <w:szCs w:val="24"/>
    </w:rPr>
  </w:style>
  <w:style w:type="paragraph" w:styleId="7">
    <w:name w:val="Body Text Indent"/>
    <w:basedOn w:val="1"/>
    <w:link w:val="37"/>
    <w:qFormat/>
    <w:uiPriority w:val="0"/>
    <w:pPr>
      <w:widowControl/>
      <w:adjustRightInd w:val="0"/>
      <w:snapToGrid w:val="0"/>
      <w:spacing w:after="120" w:line="312" w:lineRule="atLeast"/>
      <w:ind w:left="420" w:leftChars="200" w:firstLine="200" w:firstLineChars="200"/>
      <w:jc w:val="left"/>
      <w:textAlignment w:val="baseline"/>
    </w:pPr>
    <w:rPr>
      <w:rFonts w:ascii="Times New Roman" w:hAnsi="Times New Roman" w:eastAsia="宋体" w:cs="黑体"/>
      <w:kern w:val="0"/>
      <w:sz w:val="22"/>
    </w:rPr>
  </w:style>
  <w:style w:type="paragraph" w:styleId="8">
    <w:name w:val="toc 5"/>
    <w:basedOn w:val="1"/>
    <w:next w:val="1"/>
    <w:qFormat/>
    <w:uiPriority w:val="0"/>
    <w:pPr>
      <w:widowControl/>
      <w:adjustRightInd w:val="0"/>
      <w:snapToGrid w:val="0"/>
      <w:spacing w:line="360" w:lineRule="auto"/>
      <w:ind w:left="1680" w:leftChars="800" w:firstLine="200" w:firstLineChars="200"/>
      <w:jc w:val="left"/>
    </w:pPr>
    <w:rPr>
      <w:rFonts w:ascii="Times New Roman" w:hAnsi="Times New Roman" w:eastAsia="宋体" w:cs="黑体"/>
      <w:kern w:val="0"/>
      <w:sz w:val="22"/>
    </w:rPr>
  </w:style>
  <w:style w:type="paragraph" w:styleId="9">
    <w:name w:val="toc 3"/>
    <w:basedOn w:val="1"/>
    <w:next w:val="1"/>
    <w:qFormat/>
    <w:uiPriority w:val="39"/>
    <w:pPr>
      <w:widowControl/>
      <w:adjustRightInd w:val="0"/>
      <w:snapToGrid w:val="0"/>
      <w:spacing w:line="360" w:lineRule="auto"/>
      <w:ind w:left="840" w:leftChars="400" w:firstLine="200" w:firstLineChars="200"/>
      <w:jc w:val="left"/>
    </w:pPr>
    <w:rPr>
      <w:rFonts w:ascii="Times New Roman" w:hAnsi="Times New Roman" w:eastAsia="宋体" w:cs="黑体"/>
      <w:kern w:val="0"/>
      <w:sz w:val="22"/>
    </w:rPr>
  </w:style>
  <w:style w:type="paragraph" w:styleId="10">
    <w:name w:val="toc 8"/>
    <w:basedOn w:val="1"/>
    <w:next w:val="1"/>
    <w:qFormat/>
    <w:uiPriority w:val="0"/>
    <w:pPr>
      <w:widowControl/>
      <w:adjustRightInd w:val="0"/>
      <w:snapToGrid w:val="0"/>
      <w:spacing w:line="360" w:lineRule="auto"/>
      <w:ind w:left="2940" w:leftChars="1400" w:firstLine="200" w:firstLineChars="200"/>
      <w:jc w:val="left"/>
    </w:pPr>
    <w:rPr>
      <w:rFonts w:ascii="Times New Roman" w:hAnsi="Times New Roman" w:eastAsia="宋体" w:cs="黑体"/>
      <w:kern w:val="0"/>
      <w:sz w:val="22"/>
    </w:rPr>
  </w:style>
  <w:style w:type="paragraph" w:styleId="11">
    <w:name w:val="Date"/>
    <w:basedOn w:val="1"/>
    <w:next w:val="1"/>
    <w:link w:val="38"/>
    <w:qFormat/>
    <w:uiPriority w:val="0"/>
    <w:pPr>
      <w:widowControl/>
      <w:adjustRightInd w:val="0"/>
      <w:snapToGrid w:val="0"/>
      <w:spacing w:line="360" w:lineRule="auto"/>
      <w:ind w:firstLine="200" w:firstLineChars="200"/>
      <w:jc w:val="left"/>
    </w:pPr>
    <w:rPr>
      <w:rFonts w:ascii="宋体" w:hAnsi="Times New Roman" w:eastAsia="宋体" w:cs="黑体"/>
      <w:kern w:val="0"/>
      <w:sz w:val="28"/>
    </w:rPr>
  </w:style>
  <w:style w:type="paragraph" w:styleId="12">
    <w:name w:val="Body Text Indent 2"/>
    <w:basedOn w:val="1"/>
    <w:link w:val="39"/>
    <w:qFormat/>
    <w:uiPriority w:val="0"/>
    <w:pPr>
      <w:widowControl/>
      <w:adjustRightInd w:val="0"/>
      <w:snapToGrid w:val="0"/>
      <w:spacing w:line="400" w:lineRule="exact"/>
      <w:ind w:firstLine="570" w:firstLineChars="200"/>
      <w:jc w:val="left"/>
      <w:textAlignment w:val="baseline"/>
    </w:pPr>
    <w:rPr>
      <w:rFonts w:ascii="Times New Roman" w:hAnsi="Times New Roman" w:eastAsia="宋体" w:cs="黑体"/>
      <w:kern w:val="0"/>
      <w:sz w:val="28"/>
    </w:rPr>
  </w:style>
  <w:style w:type="paragraph" w:styleId="13">
    <w:name w:val="Balloon Text"/>
    <w:basedOn w:val="1"/>
    <w:link w:val="36"/>
    <w:semiHidden/>
    <w:unhideWhenUsed/>
    <w:qFormat/>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styleId="17">
    <w:name w:val="toc 4"/>
    <w:basedOn w:val="1"/>
    <w:next w:val="1"/>
    <w:qFormat/>
    <w:uiPriority w:val="0"/>
    <w:pPr>
      <w:widowControl/>
      <w:adjustRightInd w:val="0"/>
      <w:snapToGrid w:val="0"/>
      <w:spacing w:line="360" w:lineRule="auto"/>
      <w:ind w:left="1260" w:leftChars="600" w:firstLine="200" w:firstLineChars="200"/>
      <w:jc w:val="left"/>
    </w:pPr>
    <w:rPr>
      <w:rFonts w:ascii="Times New Roman" w:hAnsi="Times New Roman" w:eastAsia="宋体" w:cs="黑体"/>
      <w:kern w:val="0"/>
      <w:sz w:val="22"/>
    </w:rPr>
  </w:style>
  <w:style w:type="paragraph" w:styleId="18">
    <w:name w:val="toc 6"/>
    <w:basedOn w:val="1"/>
    <w:next w:val="1"/>
    <w:qFormat/>
    <w:uiPriority w:val="0"/>
    <w:pPr>
      <w:widowControl/>
      <w:adjustRightInd w:val="0"/>
      <w:snapToGrid w:val="0"/>
      <w:spacing w:line="360" w:lineRule="auto"/>
      <w:ind w:left="2100" w:leftChars="1000" w:firstLine="200" w:firstLineChars="200"/>
      <w:jc w:val="left"/>
    </w:pPr>
    <w:rPr>
      <w:rFonts w:ascii="Times New Roman" w:hAnsi="Times New Roman" w:eastAsia="宋体" w:cs="黑体"/>
      <w:kern w:val="0"/>
      <w:sz w:val="22"/>
    </w:rPr>
  </w:style>
  <w:style w:type="paragraph" w:styleId="19">
    <w:name w:val="toc 2"/>
    <w:basedOn w:val="1"/>
    <w:next w:val="1"/>
    <w:qFormat/>
    <w:uiPriority w:val="39"/>
    <w:pPr>
      <w:widowControl/>
      <w:adjustRightInd w:val="0"/>
      <w:snapToGrid w:val="0"/>
      <w:spacing w:line="360" w:lineRule="auto"/>
      <w:ind w:left="420" w:leftChars="200" w:firstLine="200" w:firstLineChars="200"/>
      <w:jc w:val="left"/>
    </w:pPr>
    <w:rPr>
      <w:rFonts w:ascii="Times New Roman" w:hAnsi="Times New Roman" w:eastAsia="宋体" w:cs="黑体"/>
      <w:kern w:val="0"/>
      <w:sz w:val="22"/>
    </w:rPr>
  </w:style>
  <w:style w:type="paragraph" w:styleId="20">
    <w:name w:val="toc 9"/>
    <w:basedOn w:val="1"/>
    <w:next w:val="1"/>
    <w:qFormat/>
    <w:uiPriority w:val="0"/>
    <w:pPr>
      <w:widowControl/>
      <w:adjustRightInd w:val="0"/>
      <w:snapToGrid w:val="0"/>
      <w:spacing w:line="360" w:lineRule="auto"/>
      <w:ind w:left="3360" w:leftChars="1600" w:firstLine="200" w:firstLineChars="200"/>
      <w:jc w:val="left"/>
    </w:pPr>
    <w:rPr>
      <w:rFonts w:ascii="Times New Roman" w:hAnsi="Times New Roman" w:eastAsia="宋体" w:cs="黑体"/>
      <w:kern w:val="0"/>
      <w:sz w:val="22"/>
    </w:rPr>
  </w:style>
  <w:style w:type="paragraph" w:styleId="21">
    <w:name w:val="Normal (Web)"/>
    <w:basedOn w:val="1"/>
    <w:qFormat/>
    <w:uiPriority w:val="0"/>
    <w:pPr>
      <w:widowControl/>
      <w:adjustRightInd w:val="0"/>
      <w:snapToGrid w:val="0"/>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styleId="22">
    <w:name w:val="Title"/>
    <w:basedOn w:val="1"/>
    <w:next w:val="1"/>
    <w:link w:val="49"/>
    <w:qFormat/>
    <w:uiPriority w:val="0"/>
    <w:pPr>
      <w:widowControl/>
      <w:adjustRightInd w:val="0"/>
      <w:snapToGrid w:val="0"/>
      <w:spacing w:before="240" w:after="60" w:line="360" w:lineRule="auto"/>
      <w:ind w:firstLine="200" w:firstLineChars="200"/>
      <w:jc w:val="center"/>
      <w:outlineLvl w:val="0"/>
    </w:pPr>
    <w:rPr>
      <w:rFonts w:eastAsia="宋体" w:asciiTheme="majorHAnsi" w:hAnsiTheme="majorHAnsi" w:cstheme="majorBidi"/>
      <w:b/>
      <w:bCs/>
      <w:kern w:val="0"/>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Table Theme"/>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unhideWhenUsed/>
    <w:qFormat/>
    <w:uiPriority w:val="0"/>
  </w:style>
  <w:style w:type="character" w:styleId="29">
    <w:name w:val="Emphasis"/>
    <w:basedOn w:val="26"/>
    <w:qFormat/>
    <w:uiPriority w:val="0"/>
    <w:rPr>
      <w:i/>
      <w:iCs/>
    </w:rPr>
  </w:style>
  <w:style w:type="character" w:styleId="30">
    <w:name w:val="Hyperlink"/>
    <w:basedOn w:val="26"/>
    <w:unhideWhenUsed/>
    <w:qFormat/>
    <w:uiPriority w:val="99"/>
    <w:rPr>
      <w:color w:val="0000FF" w:themeColor="hyperlink"/>
      <w:u w:val="single"/>
      <w14:textFill>
        <w14:solidFill>
          <w14:schemeClr w14:val="hlink"/>
        </w14:solidFill>
      </w14:textFill>
    </w:rPr>
  </w:style>
  <w:style w:type="paragraph" w:customStyle="1" w:styleId="31">
    <w:name w:val="列出段落1"/>
    <w:basedOn w:val="1"/>
    <w:qFormat/>
    <w:uiPriority w:val="34"/>
    <w:pPr>
      <w:ind w:firstLine="420" w:firstLineChars="200"/>
    </w:pPr>
  </w:style>
  <w:style w:type="paragraph" w:customStyle="1" w:styleId="32">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3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34">
    <w:name w:val="表文字"/>
    <w:basedOn w:val="1"/>
    <w:link w:val="5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35">
    <w:name w:val="样式 标题 1 + 段前: 0.12 行 段后: 0.5 行 行距: 多倍行距 1.6 字行"/>
    <w:basedOn w:val="2"/>
    <w:qFormat/>
    <w:uiPriority w:val="0"/>
    <w:pPr>
      <w:spacing w:beforeLines="60" w:afterLines="60" w:line="384" w:lineRule="auto"/>
    </w:pPr>
    <w:rPr>
      <w:rFonts w:eastAsia="黑体" w:cs="宋体"/>
      <w:sz w:val="32"/>
      <w:szCs w:val="20"/>
    </w:rPr>
  </w:style>
  <w:style w:type="character" w:customStyle="1" w:styleId="36">
    <w:name w:val="批注框文本 Char"/>
    <w:basedOn w:val="26"/>
    <w:link w:val="13"/>
    <w:semiHidden/>
    <w:qFormat/>
    <w:uiPriority w:val="99"/>
    <w:rPr>
      <w:kern w:val="2"/>
      <w:sz w:val="18"/>
      <w:szCs w:val="18"/>
    </w:rPr>
  </w:style>
  <w:style w:type="character" w:customStyle="1" w:styleId="37">
    <w:name w:val="正文文本缩进 Char"/>
    <w:basedOn w:val="26"/>
    <w:link w:val="7"/>
    <w:qFormat/>
    <w:uiPriority w:val="0"/>
    <w:rPr>
      <w:rFonts w:ascii="Times New Roman" w:hAnsi="Times New Roman" w:eastAsia="宋体" w:cs="黑体"/>
      <w:sz w:val="22"/>
      <w:szCs w:val="22"/>
    </w:rPr>
  </w:style>
  <w:style w:type="character" w:customStyle="1" w:styleId="38">
    <w:name w:val="日期 Char"/>
    <w:basedOn w:val="26"/>
    <w:link w:val="11"/>
    <w:qFormat/>
    <w:uiPriority w:val="0"/>
    <w:rPr>
      <w:rFonts w:ascii="宋体" w:hAnsi="Times New Roman" w:eastAsia="宋体" w:cs="黑体"/>
      <w:sz w:val="28"/>
      <w:szCs w:val="22"/>
    </w:rPr>
  </w:style>
  <w:style w:type="character" w:customStyle="1" w:styleId="39">
    <w:name w:val="正文文本缩进 2 Char"/>
    <w:basedOn w:val="26"/>
    <w:link w:val="12"/>
    <w:qFormat/>
    <w:uiPriority w:val="0"/>
    <w:rPr>
      <w:rFonts w:ascii="Times New Roman" w:hAnsi="Times New Roman" w:eastAsia="宋体" w:cs="黑体"/>
      <w:sz w:val="28"/>
      <w:szCs w:val="22"/>
    </w:rPr>
  </w:style>
  <w:style w:type="paragraph" w:customStyle="1" w:styleId="40">
    <w:name w:val="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customStyle="1" w:styleId="41">
    <w:name w:val="表格文字"/>
    <w:basedOn w:val="1"/>
    <w:qFormat/>
    <w:uiPriority w:val="0"/>
    <w:pPr>
      <w:widowControl/>
      <w:adjustRightInd w:val="0"/>
      <w:snapToGrid w:val="0"/>
      <w:spacing w:line="500" w:lineRule="exact"/>
      <w:ind w:left="-63" w:leftChars="-30" w:right="-27" w:rightChars="-13" w:firstLine="200" w:firstLineChars="200"/>
      <w:jc w:val="center"/>
    </w:pPr>
    <w:rPr>
      <w:rFonts w:ascii="Times New Roman" w:hAnsi="Times New Roman" w:eastAsia="宋体" w:cs="黑体"/>
      <w:spacing w:val="-7"/>
      <w:kern w:val="0"/>
      <w:szCs w:val="21"/>
    </w:rPr>
  </w:style>
  <w:style w:type="paragraph" w:customStyle="1" w:styleId="42">
    <w:name w:val="表头文字"/>
    <w:basedOn w:val="1"/>
    <w:qFormat/>
    <w:uiPriority w:val="0"/>
    <w:pPr>
      <w:widowControl/>
      <w:adjustRightInd w:val="0"/>
      <w:snapToGrid w:val="0"/>
      <w:spacing w:line="360" w:lineRule="exact"/>
      <w:ind w:firstLine="200" w:firstLineChars="200"/>
      <w:jc w:val="left"/>
      <w:textAlignment w:val="baseline"/>
    </w:pPr>
    <w:rPr>
      <w:rFonts w:ascii="Times New Roman" w:hAnsi="Times New Roman" w:eastAsia="宋体" w:cs="黑体"/>
      <w:b/>
      <w:kern w:val="0"/>
    </w:rPr>
  </w:style>
  <w:style w:type="paragraph" w:customStyle="1" w:styleId="43">
    <w:name w:val="Char Char Char Char1 Char Char2 Char Char Char 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szCs w:val="24"/>
    </w:rPr>
  </w:style>
  <w:style w:type="paragraph" w:styleId="44">
    <w:name w:val="No Spacing"/>
    <w:link w:val="45"/>
    <w:qFormat/>
    <w:uiPriority w:val="1"/>
    <w:rPr>
      <w:rFonts w:asciiTheme="minorHAnsi" w:hAnsiTheme="minorHAnsi" w:eastAsiaTheme="minorEastAsia" w:cstheme="minorBidi"/>
      <w:sz w:val="22"/>
      <w:szCs w:val="22"/>
      <w:lang w:val="en-US" w:eastAsia="zh-CN" w:bidi="ar-SA"/>
    </w:rPr>
  </w:style>
  <w:style w:type="character" w:customStyle="1" w:styleId="45">
    <w:name w:val="无间隔 Char"/>
    <w:basedOn w:val="26"/>
    <w:link w:val="44"/>
    <w:qFormat/>
    <w:uiPriority w:val="1"/>
    <w:rPr>
      <w:sz w:val="22"/>
      <w:szCs w:val="22"/>
    </w:rPr>
  </w:style>
  <w:style w:type="character" w:customStyle="1" w:styleId="46">
    <w:name w:val="页眉 Char"/>
    <w:basedOn w:val="26"/>
    <w:link w:val="15"/>
    <w:qFormat/>
    <w:uiPriority w:val="99"/>
    <w:rPr>
      <w:kern w:val="2"/>
      <w:sz w:val="18"/>
      <w:szCs w:val="18"/>
    </w:rPr>
  </w:style>
  <w:style w:type="character" w:customStyle="1" w:styleId="47">
    <w:name w:val="页脚 Char"/>
    <w:basedOn w:val="26"/>
    <w:link w:val="14"/>
    <w:qFormat/>
    <w:uiPriority w:val="99"/>
    <w:rPr>
      <w:kern w:val="2"/>
      <w:sz w:val="18"/>
      <w:szCs w:val="18"/>
    </w:rPr>
  </w:style>
  <w:style w:type="paragraph" w:customStyle="1" w:styleId="48">
    <w:name w:val="表头字"/>
    <w:basedOn w:val="1"/>
    <w:qFormat/>
    <w:uiPriority w:val="0"/>
    <w:pPr>
      <w:spacing w:line="520" w:lineRule="exact"/>
      <w:ind w:firstLine="480" w:firstLineChars="200"/>
    </w:pPr>
    <w:rPr>
      <w:rFonts w:ascii="Times New Roman" w:hAnsi="Times New Roman" w:eastAsia="黑体" w:cs="Times New Roman"/>
      <w:bCs/>
      <w:sz w:val="24"/>
      <w:szCs w:val="24"/>
    </w:rPr>
  </w:style>
  <w:style w:type="character" w:customStyle="1" w:styleId="49">
    <w:name w:val="标题 Char"/>
    <w:basedOn w:val="26"/>
    <w:link w:val="22"/>
    <w:qFormat/>
    <w:uiPriority w:val="0"/>
    <w:rPr>
      <w:rFonts w:eastAsia="宋体" w:asciiTheme="majorHAnsi" w:hAnsiTheme="majorHAnsi" w:cstheme="majorBidi"/>
      <w:b/>
      <w:bCs/>
      <w:sz w:val="32"/>
      <w:szCs w:val="32"/>
    </w:rPr>
  </w:style>
  <w:style w:type="paragraph" w:customStyle="1" w:styleId="5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1">
    <w:name w:val="表文字 Char"/>
    <w:link w:val="34"/>
    <w:qFormat/>
    <w:uiPriority w:val="0"/>
    <w:rPr>
      <w:sz w:val="24"/>
    </w:rPr>
  </w:style>
  <w:style w:type="paragraph" w:styleId="52">
    <w:name w:val="List Paragraph"/>
    <w:basedOn w:val="1"/>
    <w:qFormat/>
    <w:uiPriority w:val="34"/>
    <w:pPr>
      <w:widowControl/>
      <w:adjustRightInd w:val="0"/>
      <w:snapToGrid w:val="0"/>
      <w:spacing w:line="360" w:lineRule="auto"/>
      <w:ind w:firstLine="420" w:firstLineChars="200"/>
      <w:jc w:val="left"/>
    </w:pPr>
    <w:rPr>
      <w:rFonts w:ascii="Times New Roman" w:hAnsi="Times New Roman" w:eastAsia="宋体" w:cs="黑体"/>
      <w:kern w:val="0"/>
      <w:sz w:val="22"/>
    </w:rPr>
  </w:style>
  <w:style w:type="character" w:customStyle="1" w:styleId="53">
    <w:name w:val="正文文本 Char"/>
    <w:basedOn w:val="26"/>
    <w:link w:val="6"/>
    <w:semiHidden/>
    <w:qFormat/>
    <w:uiPriority w:val="99"/>
    <w:rPr>
      <w:rFonts w:ascii="Times New Roman" w:hAnsi="Times New Roman" w:eastAsia="宋体" w:cs="Times New Roman"/>
      <w:kern w:val="2"/>
      <w:sz w:val="24"/>
      <w:szCs w:val="24"/>
    </w:rPr>
  </w:style>
  <w:style w:type="character" w:customStyle="1" w:styleId="54">
    <w:name w:val="批注文字 Char"/>
    <w:basedOn w:val="26"/>
    <w:link w:val="5"/>
    <w:semiHidden/>
    <w:qFormat/>
    <w:uiPriority w:val="99"/>
    <w:rPr>
      <w:rFonts w:ascii="Times New Roman" w:hAnsi="Times New Roman" w:eastAsia="宋体" w:cs="Times New Roman"/>
      <w:kern w:val="2"/>
      <w:sz w:val="24"/>
      <w:szCs w:val="24"/>
    </w:rPr>
  </w:style>
  <w:style w:type="paragraph" w:customStyle="1" w:styleId="5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p0"/>
    <w:basedOn w:val="1"/>
    <w:qFormat/>
    <w:uiPriority w:val="0"/>
    <w:pPr>
      <w:widowControl/>
    </w:pPr>
    <w:rPr>
      <w:rFonts w:ascii="Calibri" w:hAnsi="Calibri" w:eastAsia="宋体" w:cs="宋体"/>
      <w:kern w:val="0"/>
      <w:szCs w:val="21"/>
    </w:rPr>
  </w:style>
  <w:style w:type="paragraph" w:customStyle="1" w:styleId="57">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58">
    <w:name w:val="标题 1 Char"/>
    <w:basedOn w:val="26"/>
    <w:link w:val="2"/>
    <w:qFormat/>
    <w:uiPriority w:val="0"/>
    <w:rPr>
      <w:b/>
      <w:bCs/>
      <w:kern w:val="44"/>
      <w:sz w:val="44"/>
      <w:szCs w:val="44"/>
    </w:rPr>
  </w:style>
  <w:style w:type="character" w:customStyle="1" w:styleId="59">
    <w:name w:val="标题 2 Char"/>
    <w:basedOn w:val="26"/>
    <w:link w:val="3"/>
    <w:qFormat/>
    <w:uiPriority w:val="0"/>
    <w:rPr>
      <w:rFonts w:ascii="Arial" w:hAnsi="Arial" w:eastAsia="黑体"/>
      <w:b/>
      <w:bCs/>
      <w:kern w:val="2"/>
      <w:sz w:val="32"/>
      <w:szCs w:val="32"/>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1105</Words>
  <Characters>6305</Characters>
  <Lines>52</Lines>
  <Paragraphs>14</Paragraphs>
  <TotalTime>68</TotalTime>
  <ScaleCrop>false</ScaleCrop>
  <LinksUpToDate>false</LinksUpToDate>
  <CharactersWithSpaces>7396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2023-10-02T01:31:00Z</dcterms:created>
  <dc:creator>zjj01</dc:creator>
  <cp:lastModifiedBy>Administrator</cp:lastModifiedBy>
  <cp:lastPrinted>2021-09-02T08:04:00Z</cp:lastPrinted>
  <dcterms:modified xsi:type="dcterms:W3CDTF">2025-01-06T07:19:59Z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F3C28A6D86F84E238576BBC8D59F538B</vt:lpwstr>
  </property>
</Properties>
</file>