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C3590"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</w:t>
      </w:r>
    </w:p>
    <w:p w14:paraId="4C783895">
      <w:pPr>
        <w:spacing w:line="560" w:lineRule="exact"/>
        <w:rPr>
          <w:rFonts w:hint="eastAsia" w:ascii="黑体" w:hAnsi="仿宋_GB2312" w:eastAsia="黑体" w:cs="仿宋_GB2312"/>
          <w:sz w:val="32"/>
          <w:szCs w:val="32"/>
        </w:rPr>
      </w:pPr>
    </w:p>
    <w:p w14:paraId="3B20F352">
      <w:pPr>
        <w:adjustRightInd w:val="0"/>
        <w:snapToGrid w:val="0"/>
        <w:spacing w:line="560" w:lineRule="exact"/>
        <w:ind w:firstLine="5569" w:firstLineChars="1849"/>
        <w:rPr>
          <w:rFonts w:hint="eastAsia" w:ascii="楷体" w:hAnsi="楷体" w:eastAsia="楷体"/>
          <w:b/>
          <w:bCs/>
          <w:sz w:val="30"/>
        </w:rPr>
      </w:pPr>
    </w:p>
    <w:p w14:paraId="31C86922">
      <w:pPr>
        <w:adjustRightInd w:val="0"/>
        <w:snapToGrid w:val="0"/>
        <w:spacing w:line="560" w:lineRule="exact"/>
        <w:ind w:firstLine="5569" w:firstLineChars="1849"/>
        <w:rPr>
          <w:rFonts w:hint="eastAsia" w:ascii="楷体_GB2312" w:hAnsi="楷体" w:eastAsia="楷体_GB2312"/>
          <w:b/>
          <w:bCs/>
          <w:sz w:val="30"/>
        </w:rPr>
      </w:pPr>
      <w:r>
        <w:rPr>
          <w:rFonts w:hint="eastAsia" w:ascii="楷体_GB2312" w:hAnsi="楷体" w:eastAsia="楷体_GB2312"/>
          <w:b/>
          <w:bCs/>
          <w:sz w:val="30"/>
        </w:rPr>
        <w:t>事证第         号</w:t>
      </w:r>
    </w:p>
    <w:p w14:paraId="5937F675">
      <w:pPr>
        <w:adjustRightInd w:val="0"/>
        <w:snapToGrid w:val="0"/>
        <w:spacing w:line="560" w:lineRule="exact"/>
        <w:jc w:val="right"/>
      </w:pPr>
    </w:p>
    <w:p w14:paraId="3A827224">
      <w:pPr>
        <w:adjustRightInd w:val="0"/>
        <w:snapToGrid w:val="0"/>
        <w:spacing w:line="560" w:lineRule="exact"/>
        <w:jc w:val="right"/>
      </w:pPr>
    </w:p>
    <w:p w14:paraId="7588FA92">
      <w:pPr>
        <w:adjustRightInd w:val="0"/>
        <w:snapToGrid w:val="0"/>
        <w:spacing w:line="560" w:lineRule="exact"/>
        <w:jc w:val="right"/>
        <w:rPr>
          <w:rFonts w:hint="eastAsia"/>
        </w:rPr>
      </w:pPr>
    </w:p>
    <w:p w14:paraId="2D6B17C7">
      <w:pPr>
        <w:adjustRightInd w:val="0"/>
        <w:snapToGrid w:val="0"/>
        <w:spacing w:line="560" w:lineRule="exact"/>
        <w:jc w:val="right"/>
        <w:rPr>
          <w:rFonts w:hint="eastAsia"/>
        </w:rPr>
      </w:pPr>
    </w:p>
    <w:p w14:paraId="7B5FD199">
      <w:pPr>
        <w:adjustRightInd w:val="0"/>
        <w:snapToGrid w:val="0"/>
        <w:spacing w:line="560" w:lineRule="exact"/>
        <w:jc w:val="right"/>
      </w:pPr>
    </w:p>
    <w:p w14:paraId="104997A1">
      <w:pPr>
        <w:adjustRightInd w:val="0"/>
        <w:snapToGrid w:val="0"/>
        <w:spacing w:line="560" w:lineRule="exact"/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 w14:paraId="6BD73EFF">
      <w:pPr>
        <w:adjustRightInd w:val="0"/>
        <w:snapToGrid w:val="0"/>
        <w:spacing w:line="560" w:lineRule="exact"/>
        <w:jc w:val="center"/>
        <w:rPr>
          <w:rFonts w:hint="eastAsia" w:eastAsia="黑体"/>
          <w:b/>
          <w:bCs/>
          <w:spacing w:val="30"/>
        </w:rPr>
      </w:pPr>
    </w:p>
    <w:p w14:paraId="2DF5CB39">
      <w:pPr>
        <w:adjustRightInd w:val="0"/>
        <w:snapToGrid w:val="0"/>
        <w:spacing w:line="560" w:lineRule="exact"/>
        <w:jc w:val="center"/>
        <w:rPr>
          <w:rFonts w:hint="eastAsia" w:eastAsia="黑体"/>
          <w:b/>
          <w:bCs/>
          <w:spacing w:val="30"/>
        </w:rPr>
      </w:pPr>
    </w:p>
    <w:p w14:paraId="364B760B">
      <w:pPr>
        <w:adjustRightInd w:val="0"/>
        <w:snapToGrid w:val="0"/>
        <w:spacing w:line="560" w:lineRule="exact"/>
        <w:jc w:val="center"/>
        <w:rPr>
          <w:rFonts w:eastAsia="楷体_GB2312"/>
          <w:b/>
          <w:bCs/>
          <w:spacing w:val="30"/>
          <w:sz w:val="36"/>
        </w:rPr>
      </w:pPr>
      <w:r>
        <w:rPr>
          <w:rFonts w:hint="eastAsia" w:eastAsia="楷体_GB2312"/>
          <w:b/>
          <w:bCs/>
          <w:spacing w:val="30"/>
          <w:sz w:val="36"/>
        </w:rPr>
        <w:t>（</w:t>
      </w:r>
      <w:r>
        <w:rPr>
          <w:rFonts w:hint="eastAsia" w:eastAsia="楷体_GB2312"/>
          <w:b/>
          <w:bCs/>
          <w:spacing w:val="30"/>
          <w:sz w:val="36"/>
          <w:lang w:val="en-US" w:eastAsia="zh-CN"/>
        </w:rPr>
        <w:t>2024</w:t>
      </w:r>
      <w:r>
        <w:rPr>
          <w:rFonts w:hint="eastAsia" w:ascii="楷体_GB2312" w:hAnsi="楷体" w:eastAsia="楷体_GB2312"/>
          <w:b/>
          <w:bCs/>
          <w:spacing w:val="30"/>
          <w:sz w:val="36"/>
        </w:rPr>
        <w:t>年度</w:t>
      </w:r>
      <w:r>
        <w:rPr>
          <w:rFonts w:hint="eastAsia" w:eastAsia="楷体_GB2312"/>
          <w:b/>
          <w:bCs/>
          <w:spacing w:val="30"/>
          <w:sz w:val="36"/>
        </w:rPr>
        <w:t>）</w:t>
      </w:r>
    </w:p>
    <w:p w14:paraId="7AFB08F0">
      <w:pPr>
        <w:adjustRightInd w:val="0"/>
        <w:snapToGrid w:val="0"/>
        <w:spacing w:line="560" w:lineRule="exact"/>
        <w:jc w:val="center"/>
        <w:rPr>
          <w:sz w:val="36"/>
        </w:rPr>
      </w:pPr>
    </w:p>
    <w:p w14:paraId="081EB5FC">
      <w:pPr>
        <w:adjustRightInd w:val="0"/>
        <w:snapToGrid w:val="0"/>
        <w:spacing w:line="560" w:lineRule="exact"/>
        <w:jc w:val="center"/>
        <w:rPr>
          <w:sz w:val="36"/>
        </w:rPr>
      </w:pPr>
    </w:p>
    <w:p w14:paraId="045B852A">
      <w:pPr>
        <w:adjustRightInd w:val="0"/>
        <w:snapToGrid w:val="0"/>
        <w:spacing w:line="560" w:lineRule="exact"/>
        <w:ind w:firstLine="1261" w:firstLineChars="349"/>
        <w:rPr>
          <w:rFonts w:hint="eastAsia" w:ascii="黑体" w:eastAsia="黑体"/>
          <w:b/>
          <w:bCs/>
          <w:sz w:val="36"/>
          <w:u w:val="single"/>
        </w:rPr>
      </w:pPr>
      <w:r>
        <w:rPr>
          <w:rFonts w:hint="eastAsia" w:ascii="黑体" w:eastAsia="黑体"/>
          <w:b/>
          <w:bCs/>
          <w:sz w:val="36"/>
        </w:rPr>
        <w:t>单 位 名 称</w:t>
      </w:r>
      <w:r>
        <w:rPr>
          <w:rFonts w:hint="eastAsia" w:ascii="黑体" w:eastAsia="黑体"/>
          <w:b/>
          <w:bCs/>
          <w:sz w:val="36"/>
          <w:u w:val="single"/>
        </w:rPr>
        <w:t xml:space="preserve">     </w:t>
      </w:r>
      <w:r>
        <w:rPr>
          <w:rFonts w:hint="eastAsia" w:ascii="黑体" w:eastAsia="黑体"/>
          <w:b/>
          <w:bCs/>
          <w:sz w:val="36"/>
          <w:u w:val="single"/>
          <w:lang w:val="en-US" w:eastAsia="zh-CN"/>
        </w:rPr>
        <w:t>武陵源区财政事务中心</w:t>
      </w:r>
      <w:r>
        <w:rPr>
          <w:rFonts w:hint="eastAsia" w:ascii="黑体" w:eastAsia="黑体"/>
          <w:b/>
          <w:bCs/>
          <w:sz w:val="36"/>
          <w:u w:val="single"/>
        </w:rPr>
        <w:t xml:space="preserve">                       </w:t>
      </w:r>
    </w:p>
    <w:p w14:paraId="180CD9C4">
      <w:pPr>
        <w:adjustRightInd w:val="0"/>
        <w:snapToGrid w:val="0"/>
        <w:spacing w:line="560" w:lineRule="exact"/>
        <w:ind w:firstLine="1446" w:firstLineChars="400"/>
        <w:rPr>
          <w:rFonts w:hint="eastAsia" w:ascii="黑体" w:eastAsia="黑体"/>
          <w:b/>
          <w:bCs/>
          <w:sz w:val="36"/>
        </w:rPr>
      </w:pPr>
    </w:p>
    <w:p w14:paraId="7BB5EF8F">
      <w:pPr>
        <w:adjustRightInd w:val="0"/>
        <w:snapToGrid w:val="0"/>
        <w:spacing w:line="560" w:lineRule="exact"/>
        <w:ind w:firstLine="1261" w:firstLineChars="349"/>
        <w:rPr>
          <w:rFonts w:hint="eastAsia" w:ascii="黑体" w:eastAsia="黑体"/>
          <w:b/>
          <w:bCs/>
          <w:sz w:val="36"/>
          <w:u w:val="single"/>
        </w:rPr>
      </w:pPr>
      <w:r>
        <w:rPr>
          <w:rFonts w:hint="eastAsia" w:ascii="黑体" w:eastAsia="黑体"/>
          <w:b/>
          <w:bCs/>
          <w:sz w:val="36"/>
        </w:rPr>
        <w:t>举 办 单 位</w:t>
      </w:r>
      <w:r>
        <w:rPr>
          <w:rFonts w:hint="eastAsia" w:ascii="黑体" w:eastAsia="黑体"/>
          <w:b/>
          <w:bCs/>
          <w:sz w:val="36"/>
          <w:u w:val="single"/>
        </w:rPr>
        <w:t xml:space="preserve">        </w:t>
      </w:r>
      <w:r>
        <w:rPr>
          <w:rFonts w:hint="eastAsia" w:ascii="黑体" w:eastAsia="黑体"/>
          <w:b/>
          <w:bCs/>
          <w:sz w:val="36"/>
          <w:u w:val="single"/>
          <w:lang w:val="en-US" w:eastAsia="zh-CN"/>
        </w:rPr>
        <w:t>武陵源区财政局</w:t>
      </w:r>
      <w:r>
        <w:rPr>
          <w:rFonts w:hint="eastAsia" w:ascii="黑体" w:eastAsia="黑体"/>
          <w:b/>
          <w:bCs/>
          <w:sz w:val="36"/>
          <w:u w:val="single"/>
        </w:rPr>
        <w:t xml:space="preserve">                    </w:t>
      </w:r>
    </w:p>
    <w:p w14:paraId="7777257B">
      <w:pPr>
        <w:adjustRightInd w:val="0"/>
        <w:snapToGrid w:val="0"/>
        <w:spacing w:line="560" w:lineRule="exact"/>
        <w:ind w:firstLine="540" w:firstLineChars="224"/>
        <w:rPr>
          <w:rFonts w:hint="eastAsia" w:ascii="黑体" w:eastAsia="黑体"/>
          <w:b/>
          <w:bCs/>
          <w:sz w:val="24"/>
          <w:u w:val="single"/>
        </w:rPr>
      </w:pPr>
    </w:p>
    <w:p w14:paraId="0B5D8606">
      <w:pPr>
        <w:adjustRightInd w:val="0"/>
        <w:snapToGrid w:val="0"/>
        <w:spacing w:line="560" w:lineRule="exact"/>
        <w:ind w:firstLine="1261" w:firstLineChars="349"/>
        <w:rPr>
          <w:rFonts w:hint="eastAsia" w:ascii="黑体" w:eastAsia="黑体"/>
          <w:b/>
          <w:bCs/>
          <w:sz w:val="36"/>
          <w:u w:val="single"/>
        </w:rPr>
      </w:pPr>
      <w:r>
        <w:rPr>
          <w:rFonts w:hint="eastAsia" w:ascii="黑体" w:eastAsia="黑体"/>
          <w:b/>
          <w:bCs/>
          <w:sz w:val="36"/>
        </w:rPr>
        <w:t>法</w:t>
      </w:r>
      <w:r>
        <w:rPr>
          <w:rFonts w:hint="eastAsia" w:ascii="黑体" w:eastAsia="黑体"/>
          <w:b/>
          <w:bCs/>
          <w:spacing w:val="30"/>
          <w:sz w:val="36"/>
        </w:rPr>
        <w:t>定代表</w:t>
      </w:r>
      <w:r>
        <w:rPr>
          <w:rFonts w:hint="eastAsia" w:ascii="黑体" w:eastAsia="黑体"/>
          <w:b/>
          <w:bCs/>
          <w:sz w:val="36"/>
        </w:rPr>
        <w:t>人</w:t>
      </w:r>
      <w:r>
        <w:rPr>
          <w:rFonts w:hint="eastAsia" w:ascii="黑体" w:eastAsia="黑体"/>
          <w:b/>
          <w:bCs/>
          <w:sz w:val="36"/>
          <w:u w:val="single"/>
        </w:rPr>
        <w:t xml:space="preserve">           </w:t>
      </w:r>
      <w:r>
        <w:rPr>
          <w:rFonts w:hint="eastAsia" w:ascii="黑体" w:eastAsia="黑体"/>
          <w:b/>
          <w:bCs/>
          <w:sz w:val="36"/>
          <w:u w:val="single"/>
          <w:lang w:val="en-US" w:eastAsia="zh-CN"/>
        </w:rPr>
        <w:t>梁媛</w:t>
      </w:r>
      <w:r>
        <w:rPr>
          <w:rFonts w:hint="eastAsia" w:ascii="黑体" w:eastAsia="黑体"/>
          <w:b/>
          <w:bCs/>
          <w:sz w:val="36"/>
          <w:u w:val="single"/>
        </w:rPr>
        <w:t xml:space="preserve">                 </w:t>
      </w:r>
    </w:p>
    <w:p w14:paraId="1D3F45DC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</w:p>
    <w:p w14:paraId="78E1AB67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</w:p>
    <w:p w14:paraId="1AFA6121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</w:p>
    <w:p w14:paraId="48E8807D">
      <w:pPr>
        <w:adjustRightInd w:val="0"/>
        <w:snapToGrid w:val="0"/>
        <w:spacing w:line="560" w:lineRule="exact"/>
        <w:jc w:val="center"/>
        <w:rPr>
          <w:rFonts w:hint="eastAsia" w:ascii="楷体_GB2312" w:hAnsi="楷体" w:eastAsia="楷体_GB2312"/>
          <w:b/>
          <w:bCs/>
          <w:sz w:val="32"/>
          <w:szCs w:val="32"/>
        </w:rPr>
      </w:pPr>
      <w:r>
        <w:rPr>
          <w:rFonts w:hint="eastAsia" w:ascii="楷体_GB2312" w:hAnsi="楷体" w:eastAsia="楷体_GB2312"/>
          <w:b/>
          <w:bCs/>
          <w:sz w:val="32"/>
          <w:szCs w:val="32"/>
        </w:rPr>
        <w:t>张家界市武陵源区事业单位登记管理局制</w:t>
      </w:r>
    </w:p>
    <w:tbl>
      <w:tblPr>
        <w:tblStyle w:val="5"/>
        <w:tblW w:w="9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440"/>
        <w:gridCol w:w="556"/>
        <w:gridCol w:w="1963"/>
        <w:gridCol w:w="3961"/>
      </w:tblGrid>
      <w:tr w14:paraId="2C48A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2BBF9C45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《事业</w:t>
            </w:r>
          </w:p>
          <w:p w14:paraId="5C2A1A22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单 位</w:t>
            </w:r>
          </w:p>
          <w:p w14:paraId="1EA09938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法 人</w:t>
            </w:r>
          </w:p>
          <w:p w14:paraId="07CF72A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 xml:space="preserve"> 证书》</w:t>
            </w:r>
          </w:p>
          <w:p w14:paraId="37075FE6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登 载</w:t>
            </w:r>
          </w:p>
          <w:p w14:paraId="33C917B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事 项</w:t>
            </w:r>
          </w:p>
        </w:tc>
        <w:tc>
          <w:tcPr>
            <w:tcW w:w="199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9391C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单位名称</w:t>
            </w:r>
          </w:p>
        </w:tc>
        <w:tc>
          <w:tcPr>
            <w:tcW w:w="592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024386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张家界市武陵源区财政事务中心</w:t>
            </w:r>
          </w:p>
        </w:tc>
      </w:tr>
      <w:tr w14:paraId="7CA86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8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54077BF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600A5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宗 旨 和</w:t>
            </w:r>
          </w:p>
          <w:p w14:paraId="70D5112A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业务范围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0003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贯彻落实中央、省委和市委关于财经工作的方针政策和决策部署。承担管理非税收入，促进财政工作健康发展，行政事业性收费管理，政府性基金征收管理，综合性财政统计等事务性工作。</w:t>
            </w:r>
          </w:p>
          <w:p w14:paraId="0AC1F60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482DCB79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51E5FAF4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101AB920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74267935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6228A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7CF4AEDA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804E4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住    所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80B1542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武陵源区财政局办公大楼</w:t>
            </w:r>
          </w:p>
        </w:tc>
      </w:tr>
      <w:tr w14:paraId="061F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D625394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27382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法定代表人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063611">
            <w:pPr>
              <w:spacing w:line="560" w:lineRule="exact"/>
              <w:ind w:firstLine="321" w:firstLineChars="100"/>
              <w:jc w:val="both"/>
              <w:rPr>
                <w:rFonts w:hint="eastAsia" w:ascii="楷体_GB2312" w:hAnsi="楷体" w:eastAsia="楷体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梁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媛</w:t>
            </w:r>
          </w:p>
        </w:tc>
      </w:tr>
      <w:tr w14:paraId="55828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984A9B8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57B7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开办资金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3009E95">
            <w:pPr>
              <w:spacing w:line="560" w:lineRule="exact"/>
              <w:jc w:val="both"/>
              <w:rPr>
                <w:rFonts w:hint="eastAsia" w:ascii="楷体_GB2312" w:hAnsi="楷体" w:eastAsia="楷体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￥1.6万元</w:t>
            </w:r>
          </w:p>
        </w:tc>
      </w:tr>
      <w:tr w14:paraId="78FC5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DABFD09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EB7C5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经费来源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E1D200A">
            <w:pPr>
              <w:spacing w:line="560" w:lineRule="exact"/>
              <w:ind w:firstLine="321" w:firstLineChars="100"/>
              <w:jc w:val="both"/>
              <w:rPr>
                <w:rFonts w:hint="eastAsia" w:ascii="楷体_GB2312" w:hAnsi="楷体" w:eastAsia="楷体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财政补助</w:t>
            </w:r>
          </w:p>
        </w:tc>
      </w:tr>
      <w:tr w14:paraId="14A51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62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42B5EC5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08F290E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举办单位</w:t>
            </w:r>
          </w:p>
        </w:tc>
        <w:tc>
          <w:tcPr>
            <w:tcW w:w="5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 w14:paraId="5D947599">
            <w:pPr>
              <w:spacing w:line="560" w:lineRule="exact"/>
              <w:ind w:firstLine="321" w:firstLineChars="100"/>
              <w:jc w:val="both"/>
              <w:rPr>
                <w:rFonts w:hint="eastAsia" w:ascii="楷体_GB2312" w:hAnsi="楷体" w:eastAsia="楷体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区财政局</w:t>
            </w:r>
          </w:p>
        </w:tc>
      </w:tr>
      <w:tr w14:paraId="14EA8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6" w:hRule="atLeast"/>
          <w:jc w:val="center"/>
        </w:trPr>
        <w:tc>
          <w:tcPr>
            <w:tcW w:w="1621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C064B6A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对《条</w:t>
            </w:r>
          </w:p>
          <w:p w14:paraId="0CE9A2AA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例》和</w:t>
            </w:r>
          </w:p>
          <w:p w14:paraId="36264E4E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实施细</w:t>
            </w:r>
          </w:p>
          <w:p w14:paraId="774DE8FD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则有关</w:t>
            </w:r>
          </w:p>
          <w:p w14:paraId="7D00B011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变更登</w:t>
            </w:r>
          </w:p>
          <w:p w14:paraId="3BD675A1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记规定</w:t>
            </w:r>
          </w:p>
          <w:p w14:paraId="67A76E8B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的执行</w:t>
            </w:r>
          </w:p>
          <w:p w14:paraId="2D4CA89E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  况</w:t>
            </w:r>
          </w:p>
        </w:tc>
        <w:tc>
          <w:tcPr>
            <w:tcW w:w="792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0BC2EF4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无</w:t>
            </w:r>
          </w:p>
          <w:p w14:paraId="7B9EBAEC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17748C8E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6DDFD784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7AC12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9" w:hRule="atLeast"/>
          <w:jc w:val="center"/>
        </w:trPr>
        <w:tc>
          <w:tcPr>
            <w:tcW w:w="162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95C2EC2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开</w:t>
            </w:r>
          </w:p>
          <w:p w14:paraId="0BE5CDAC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展</w:t>
            </w:r>
          </w:p>
          <w:p w14:paraId="7D7163F0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业</w:t>
            </w:r>
          </w:p>
          <w:p w14:paraId="26104E28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务</w:t>
            </w:r>
          </w:p>
          <w:p w14:paraId="25319EFC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活</w:t>
            </w:r>
          </w:p>
          <w:p w14:paraId="254F1EC5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动</w:t>
            </w:r>
          </w:p>
          <w:p w14:paraId="65A8CF89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</w:t>
            </w:r>
          </w:p>
          <w:p w14:paraId="5E12FFB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况</w:t>
            </w:r>
          </w:p>
        </w:tc>
        <w:tc>
          <w:tcPr>
            <w:tcW w:w="792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3BBCE24">
            <w:pPr>
              <w:spacing w:line="56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坚持以习近平新时代中国特色社会主义思想为指导，全面贯彻党的二十大、二十届二中、三中全会精神、中央经济工作会议精神，全面落实习近平总书记对湖南重要讲话重要指示批示精神，牢固树立“过紧日子”思想，精打细算、厉行节约，培植壮大财源税源。2024年财政事务中心完成一般公共预算的非税收入23618万元：其中行政事业性收入完成327万元，罚没收入完成8886万元，专项收入完成1620万，国有资源有偿使用收入12506万元，政府住房基金223万元，其他收入56万元。完成基金预算收入5703万元 ：其中土地出让收入733万元，城市基础设施配套费261万元，污水处理费406万元。完成国有资本经营预算收入12467万元。切实保障区委、区政府重大决策部署落地生效，为我区经济社会高质量发展做好财力保障。</w:t>
            </w:r>
          </w:p>
          <w:p w14:paraId="299A6137">
            <w:pPr>
              <w:spacing w:line="560" w:lineRule="exac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按照省厅统一部署、市财政局要求，落实纵深推进“放管服”，牵头圆满完成财政其他票据及医疗票据电子化改革。聚焦财政改革中心工作，形成注重调研的良好氛围，对有针对性的课题进行深入研究，先后上报《土地出让收入调研》、《减税降费背景下如何实现非税收入量质齐升调研》、《非税收入执收投诉案件调研》、《非税收入电子化收缴业务调研》、《湖南省非税收入管理条例执行情况调研》、《优化国有资源有偿使用制度调研》、《罚没物资处置工作规程调研》、《财政电子票据管理改革和深化应用情况调研》等多篇调研报告。通过调研在面对风险挑战、发展变化、矛盾问题等“变数”时做到心中有数，勇于直面工作中遇到的问题难点，不断提升解决问题、破解难题的能力，为区委区政府提供科学决策奠定基础。 </w:t>
            </w:r>
          </w:p>
          <w:p w14:paraId="1678A477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加强与税务部门联动，做好划转项目对账工作，及时了解非税收入增减变动原因，加强重点月份收入调度，督促执收单位做好非税执收工作，科学分析研判季度收入形势，切实保障区委、区政府重大决策部署落地生效，为我区经济社会高质量发展做好财力保障。</w:t>
            </w:r>
          </w:p>
          <w:p w14:paraId="451956F5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08A52571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4F30FBD2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21A66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5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8491D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相关资质认可或执业许可证明文件及有 效 期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4853E73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  <w:p w14:paraId="3727D9AE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无</w:t>
            </w:r>
          </w:p>
          <w:p w14:paraId="6B37ADBC">
            <w:pPr>
              <w:spacing w:line="560" w:lineRule="exac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</w:tr>
      <w:tr w14:paraId="59166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2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6926547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资产</w:t>
            </w:r>
          </w:p>
          <w:p w14:paraId="43671B5A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损益</w:t>
            </w:r>
          </w:p>
          <w:p w14:paraId="3952D4C2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情况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164CBAB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所有者权益合计（净资产合计）</w:t>
            </w:r>
          </w:p>
        </w:tc>
      </w:tr>
      <w:tr w14:paraId="25933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9905F4F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E15E260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年初数（万元）</w:t>
            </w:r>
          </w:p>
        </w:tc>
        <w:tc>
          <w:tcPr>
            <w:tcW w:w="396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19035BF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期末数（万元）</w:t>
            </w:r>
          </w:p>
        </w:tc>
      </w:tr>
      <w:tr w14:paraId="20200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62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6E1E10D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3959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BDE01AA">
            <w:pPr>
              <w:spacing w:line="560" w:lineRule="exact"/>
              <w:ind w:firstLine="964" w:firstLineChars="300"/>
              <w:rPr>
                <w:rFonts w:hint="default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1.6万元</w:t>
            </w:r>
          </w:p>
        </w:tc>
        <w:tc>
          <w:tcPr>
            <w:tcW w:w="396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2847F07">
            <w:pPr>
              <w:spacing w:line="560" w:lineRule="exact"/>
              <w:ind w:firstLine="964" w:firstLineChars="300"/>
              <w:rPr>
                <w:rFonts w:hint="default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val="en-US" w:eastAsia="zh-CN"/>
              </w:rPr>
              <w:t>1.6万元</w:t>
            </w:r>
          </w:p>
        </w:tc>
      </w:tr>
      <w:tr w14:paraId="75642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7" w:hRule="atLeast"/>
          <w:jc w:val="center"/>
        </w:trPr>
        <w:tc>
          <w:tcPr>
            <w:tcW w:w="162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C3F54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受奖</w:t>
            </w:r>
          </w:p>
          <w:p w14:paraId="5C55AD35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惩评</w:t>
            </w:r>
          </w:p>
          <w:p w14:paraId="0CFDC799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估及</w:t>
            </w:r>
          </w:p>
          <w:p w14:paraId="0BD20FC0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诉讼</w:t>
            </w:r>
          </w:p>
          <w:p w14:paraId="704DEF41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投诉</w:t>
            </w:r>
          </w:p>
          <w:p w14:paraId="62E79A68">
            <w:pPr>
              <w:adjustRightInd w:val="0"/>
              <w:snapToGrid w:val="0"/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情况</w:t>
            </w:r>
          </w:p>
        </w:tc>
        <w:tc>
          <w:tcPr>
            <w:tcW w:w="792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AB540E6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563F812C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40740419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07C534BE">
            <w:pPr>
              <w:spacing w:line="560" w:lineRule="exact"/>
              <w:ind w:firstLine="1920" w:firstLineChars="600"/>
              <w:jc w:val="left"/>
              <w:rPr>
                <w:rFonts w:hint="eastAsia" w:ascii="楷体_GB2312" w:hAnsi="楷体" w:eastAsia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sz w:val="32"/>
                <w:szCs w:val="32"/>
                <w:lang w:val="en-US" w:eastAsia="zh-CN"/>
              </w:rPr>
              <w:t>无</w:t>
            </w:r>
          </w:p>
        </w:tc>
      </w:tr>
      <w:tr w14:paraId="01279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1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F29ACA0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接受</w:t>
            </w:r>
          </w:p>
          <w:p w14:paraId="436841B0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捐赠</w:t>
            </w:r>
          </w:p>
          <w:p w14:paraId="1057D999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资助</w:t>
            </w:r>
          </w:p>
          <w:p w14:paraId="362ED917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及其</w:t>
            </w:r>
          </w:p>
          <w:p w14:paraId="101BF3DA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使用</w:t>
            </w:r>
          </w:p>
          <w:p w14:paraId="2E258DE4">
            <w:pPr>
              <w:spacing w:line="560" w:lineRule="exact"/>
              <w:ind w:firstLine="321" w:firstLineChars="100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情况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 w14:paraId="04FD526F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4BFD2501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10273E06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1D5DCE54">
            <w:pPr>
              <w:spacing w:line="560" w:lineRule="exact"/>
              <w:ind w:firstLine="1920" w:firstLineChars="600"/>
              <w:jc w:val="left"/>
              <w:rPr>
                <w:rFonts w:hint="eastAsia" w:ascii="楷体_GB2312" w:hAnsi="楷体" w:eastAsia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sz w:val="32"/>
                <w:szCs w:val="32"/>
                <w:lang w:val="en-US" w:eastAsia="zh-CN"/>
              </w:rPr>
              <w:t>无</w:t>
            </w:r>
          </w:p>
          <w:p w14:paraId="07A0C43C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2344A716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  <w:p w14:paraId="2A99FD3D">
            <w:pPr>
              <w:spacing w:line="560" w:lineRule="exact"/>
              <w:jc w:val="left"/>
              <w:rPr>
                <w:rFonts w:hint="eastAsia" w:ascii="楷体_GB2312" w:hAnsi="楷体" w:eastAsia="楷体_GB2312"/>
                <w:sz w:val="32"/>
                <w:szCs w:val="32"/>
              </w:rPr>
            </w:pPr>
          </w:p>
        </w:tc>
      </w:tr>
      <w:tr w14:paraId="6BBEE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  <w:jc w:val="center"/>
        </w:trPr>
        <w:tc>
          <w:tcPr>
            <w:tcW w:w="1621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60019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从业人数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2F5A0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上年末</w:t>
            </w:r>
          </w:p>
        </w:tc>
        <w:tc>
          <w:tcPr>
            <w:tcW w:w="6480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19851C80">
            <w:pPr>
              <w:spacing w:line="560" w:lineRule="exact"/>
              <w:jc w:val="center"/>
              <w:rPr>
                <w:rFonts w:hint="default" w:ascii="楷体_GB2312" w:hAnsi="楷体" w:eastAsia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sz w:val="32"/>
                <w:szCs w:val="32"/>
                <w:lang w:val="en-US" w:eastAsia="zh-CN"/>
              </w:rPr>
              <w:t>15</w:t>
            </w:r>
          </w:p>
        </w:tc>
      </w:tr>
      <w:tr w14:paraId="3D3D7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  <w:jc w:val="center"/>
        </w:trPr>
        <w:tc>
          <w:tcPr>
            <w:tcW w:w="1621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B55FF">
            <w:pPr>
              <w:widowControl/>
              <w:spacing w:line="560" w:lineRule="exact"/>
              <w:jc w:val="left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5A332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本年度</w:t>
            </w:r>
          </w:p>
        </w:tc>
        <w:tc>
          <w:tcPr>
            <w:tcW w:w="6480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68ACADC1">
            <w:pPr>
              <w:spacing w:line="560" w:lineRule="exact"/>
              <w:jc w:val="center"/>
              <w:rPr>
                <w:rFonts w:hint="default" w:ascii="楷体_GB2312" w:hAnsi="楷体" w:eastAsia="楷体_GB2312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sz w:val="32"/>
                <w:szCs w:val="32"/>
                <w:lang w:val="en-US" w:eastAsia="zh-CN"/>
              </w:rPr>
              <w:t>15</w:t>
            </w:r>
          </w:p>
        </w:tc>
      </w:tr>
      <w:tr w14:paraId="67F91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6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3A5F7">
            <w:pPr>
              <w:spacing w:line="560" w:lineRule="exact"/>
              <w:jc w:val="center"/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</w:rPr>
              <w:t>网上名称</w:t>
            </w:r>
          </w:p>
        </w:tc>
        <w:tc>
          <w:tcPr>
            <w:tcW w:w="7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187536E">
            <w:pPr>
              <w:spacing w:line="560" w:lineRule="exact"/>
              <w:ind w:firstLine="321" w:firstLineChars="100"/>
              <w:jc w:val="center"/>
              <w:rPr>
                <w:rFonts w:hint="eastAsia" w:ascii="楷体_GB2312" w:hAnsi="楷体" w:eastAsia="楷体_GB2312"/>
                <w:sz w:val="32"/>
                <w:szCs w:val="32"/>
              </w:rPr>
            </w:pPr>
            <w:r>
              <w:rPr>
                <w:rFonts w:hint="eastAsia" w:ascii="楷体_GB2312" w:hAnsi="楷体" w:eastAsia="楷体_GB2312"/>
                <w:b/>
                <w:bCs/>
                <w:sz w:val="32"/>
                <w:szCs w:val="32"/>
                <w:lang w:eastAsia="zh-CN"/>
              </w:rPr>
              <w:t>张家界市武陵源区财政事务中心</w:t>
            </w:r>
          </w:p>
        </w:tc>
      </w:tr>
    </w:tbl>
    <w:p w14:paraId="31019372">
      <w:bookmarkStart w:id="0" w:name="_GoBack"/>
      <w:bookmarkEnd w:id="0"/>
      <w:r>
        <w:rPr>
          <w:rFonts w:hint="eastAsia" w:ascii="楷体_GB2312" w:hAnsi="楷体" w:eastAsia="楷体_GB2312"/>
          <w:b/>
          <w:bCs/>
          <w:sz w:val="24"/>
          <w:szCs w:val="24"/>
        </w:rPr>
        <w:t>填表人：</w:t>
      </w:r>
      <w:r>
        <w:rPr>
          <w:rFonts w:hint="eastAsia" w:ascii="楷体_GB2312" w:hAnsi="楷体" w:eastAsia="楷体_GB2312"/>
          <w:b/>
          <w:bCs/>
          <w:sz w:val="24"/>
          <w:szCs w:val="24"/>
          <w:lang w:val="en-US" w:eastAsia="zh-CN"/>
        </w:rPr>
        <w:t>梁媛</w:t>
      </w:r>
      <w:r>
        <w:rPr>
          <w:rFonts w:hint="eastAsia" w:ascii="楷体_GB2312" w:hAnsi="楷体" w:eastAsia="楷体_GB2312"/>
          <w:b/>
          <w:bCs/>
          <w:sz w:val="24"/>
          <w:szCs w:val="24"/>
        </w:rPr>
        <w:t xml:space="preserve"> </w:t>
      </w:r>
      <w:r>
        <w:rPr>
          <w:rFonts w:hint="eastAsia" w:ascii="楷体_GB2312" w:hAnsi="楷体" w:eastAsia="楷体_GB2312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楷体_GB2312" w:hAnsi="楷体" w:eastAsia="楷体_GB2312"/>
          <w:b/>
          <w:bCs/>
          <w:sz w:val="24"/>
          <w:szCs w:val="24"/>
        </w:rPr>
        <w:t xml:space="preserve"> 联系电话：</w:t>
      </w:r>
      <w:r>
        <w:rPr>
          <w:rFonts w:hint="eastAsia" w:ascii="楷体_GB2312" w:hAnsi="楷体" w:eastAsia="楷体_GB2312"/>
          <w:b/>
          <w:bCs/>
          <w:sz w:val="24"/>
          <w:szCs w:val="24"/>
          <w:lang w:val="en-US" w:eastAsia="zh-CN"/>
        </w:rPr>
        <w:t>15074417536</w:t>
      </w:r>
      <w:r>
        <w:rPr>
          <w:rFonts w:hint="eastAsia" w:ascii="楷体_GB2312" w:hAnsi="楷体" w:eastAsia="楷体_GB2312"/>
          <w:b/>
          <w:bCs/>
          <w:sz w:val="24"/>
          <w:szCs w:val="24"/>
        </w:rPr>
        <w:t xml:space="preserve">  </w:t>
      </w:r>
      <w:r>
        <w:rPr>
          <w:rFonts w:hint="eastAsia" w:ascii="楷体_GB2312" w:hAnsi="楷体" w:eastAsia="楷体_GB2312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楷体_GB2312" w:hAnsi="楷体" w:eastAsia="楷体_GB2312"/>
          <w:b/>
          <w:bCs/>
          <w:sz w:val="24"/>
          <w:szCs w:val="24"/>
        </w:rPr>
        <w:t>填报日期：</w:t>
      </w:r>
      <w:r>
        <w:rPr>
          <w:rFonts w:hint="eastAsia" w:ascii="楷体_GB2312" w:hAnsi="楷体" w:eastAsia="楷体_GB2312"/>
          <w:b/>
          <w:bCs/>
          <w:sz w:val="24"/>
          <w:szCs w:val="24"/>
          <w:lang w:val="en-US" w:eastAsia="zh-CN"/>
        </w:rPr>
        <w:t>2025年1月2日</w:t>
      </w:r>
      <w:r>
        <w:rPr>
          <w:rFonts w:hint="eastAsia" w:ascii="楷体_GB2312" w:eastAsia="楷体_GB2312"/>
          <w:b/>
          <w:bCs/>
          <w:sz w:val="24"/>
          <w:szCs w:val="21"/>
        </w:rPr>
        <w:t xml:space="preserve"> </w:t>
      </w:r>
      <w:r>
        <w:rPr>
          <w:rFonts w:hint="eastAsia" w:ascii="楷体_GB2312" w:eastAsia="楷体_GB2312"/>
          <w:b/>
          <w:bCs/>
          <w:sz w:val="32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jNDIwZjhhYzA0YzVjZmU0MGY3NGI5MjcyZGZkODIifQ=="/>
  </w:docVars>
  <w:rsids>
    <w:rsidRoot w:val="00AC07DF"/>
    <w:rsid w:val="00061A4A"/>
    <w:rsid w:val="00267111"/>
    <w:rsid w:val="003C6EBF"/>
    <w:rsid w:val="004E4C9B"/>
    <w:rsid w:val="006A7268"/>
    <w:rsid w:val="00A8554F"/>
    <w:rsid w:val="00AC07DF"/>
    <w:rsid w:val="00C67E5A"/>
    <w:rsid w:val="00C96CE1"/>
    <w:rsid w:val="00C97415"/>
    <w:rsid w:val="00DB5B61"/>
    <w:rsid w:val="00DE0511"/>
    <w:rsid w:val="00F139AF"/>
    <w:rsid w:val="00F525C1"/>
    <w:rsid w:val="00F700F8"/>
    <w:rsid w:val="11D21B7B"/>
    <w:rsid w:val="15945CB1"/>
    <w:rsid w:val="265D777E"/>
    <w:rsid w:val="48B37085"/>
    <w:rsid w:val="54326079"/>
    <w:rsid w:val="57F01278"/>
    <w:rsid w:val="712C68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paragraph" w:customStyle="1" w:styleId="7">
    <w:name w:val="Char Char Char Char Char Char Char"/>
    <w:basedOn w:val="1"/>
    <w:link w:val="6"/>
    <w:uiPriority w:val="0"/>
    <w:pPr>
      <w:widowControl/>
      <w:spacing w:after="160" w:line="240" w:lineRule="exact"/>
      <w:jc w:val="left"/>
    </w:pPr>
    <w:rPr>
      <w:szCs w:val="20"/>
    </w:rPr>
  </w:style>
  <w:style w:type="character" w:styleId="8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1250</Words>
  <Characters>1332</Characters>
  <Lines>5</Lines>
  <Paragraphs>1</Paragraphs>
  <TotalTime>4</TotalTime>
  <ScaleCrop>false</ScaleCrop>
  <LinksUpToDate>false</LinksUpToDate>
  <CharactersWithSpaces>1591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2015-01-08T02:54:00Z</dcterms:created>
  <dc:creator>微软中国</dc:creator>
  <cp:lastModifiedBy>Administrator</cp:lastModifiedBy>
  <cp:lastPrinted>2025-01-02T08:26:00Z</cp:lastPrinted>
  <dcterms:modified xsi:type="dcterms:W3CDTF">2025-02-25T08:16:44Z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AEB61749852144AB97FF5EF9CD2543A7_13</vt:lpwstr>
  </property>
  <property fmtid="{D5CDD505-2E9C-101B-9397-08002B2CF9AE}" pid="4" name="KSOTemplateDocerSaveRecord">
    <vt:lpwstr>eyJoZGlkIjoiZmNlYWY3ZGM3OTg5NjBjZjQ5ZThkMjkxMWU3Y2UwNDgifQ==</vt:lpwstr>
  </property>
</Properties>
</file>