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3D5B6"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</w:t>
      </w:r>
    </w:p>
    <w:p w14:paraId="6E5D9A6C">
      <w:pPr>
        <w:spacing w:line="560" w:lineRule="exact"/>
        <w:rPr>
          <w:rFonts w:hint="eastAsia" w:ascii="黑体" w:hAnsi="仿宋_GB2312" w:eastAsia="黑体" w:cs="仿宋_GB2312"/>
          <w:sz w:val="32"/>
          <w:szCs w:val="32"/>
        </w:rPr>
      </w:pPr>
    </w:p>
    <w:p w14:paraId="735209F1">
      <w:pPr>
        <w:adjustRightInd w:val="0"/>
        <w:snapToGrid w:val="0"/>
        <w:spacing w:line="560" w:lineRule="exact"/>
        <w:jc w:val="right"/>
        <w:rPr>
          <w:rFonts w:hint="eastAsia" w:ascii="楷体_GB2312" w:hAnsi="楷体" w:eastAsia="楷体_GB2312"/>
          <w:b/>
          <w:bCs/>
          <w:sz w:val="30"/>
        </w:rPr>
      </w:pPr>
      <w:r>
        <w:rPr>
          <w:rFonts w:hint="eastAsia" w:ascii="楷体_GB2312" w:hAnsi="楷体" w:eastAsia="楷体_GB2312"/>
          <w:b/>
          <w:bCs/>
          <w:sz w:val="30"/>
        </w:rPr>
        <w:t>事证第</w:t>
      </w:r>
      <w:r>
        <w:rPr>
          <w:rFonts w:hint="eastAsia" w:ascii="楷体_GB2312" w:hAnsi="楷体" w:eastAsia="楷体_GB2312"/>
          <w:b/>
          <w:bCs/>
          <w:sz w:val="30"/>
          <w:lang w:val="en-US" w:eastAsia="zh-CN"/>
        </w:rPr>
        <w:t>124308117389803911</w:t>
      </w:r>
      <w:r>
        <w:rPr>
          <w:rFonts w:hint="eastAsia" w:ascii="楷体_GB2312" w:hAnsi="楷体" w:eastAsia="楷体_GB2312"/>
          <w:b/>
          <w:bCs/>
          <w:sz w:val="30"/>
        </w:rPr>
        <w:t>号</w:t>
      </w:r>
    </w:p>
    <w:p w14:paraId="50338126">
      <w:pPr>
        <w:adjustRightInd w:val="0"/>
        <w:snapToGrid w:val="0"/>
        <w:spacing w:line="560" w:lineRule="exact"/>
        <w:jc w:val="right"/>
      </w:pPr>
    </w:p>
    <w:p w14:paraId="6750E60A">
      <w:pPr>
        <w:adjustRightInd w:val="0"/>
        <w:snapToGrid w:val="0"/>
        <w:spacing w:line="560" w:lineRule="exact"/>
        <w:jc w:val="both"/>
        <w:rPr>
          <w:rFonts w:hint="eastAsia" w:eastAsia="黑体"/>
          <w:b/>
          <w:bCs/>
          <w:spacing w:val="40"/>
          <w:sz w:val="52"/>
        </w:rPr>
      </w:pPr>
    </w:p>
    <w:p w14:paraId="23977704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40"/>
          <w:sz w:val="52"/>
        </w:rPr>
      </w:pPr>
    </w:p>
    <w:p w14:paraId="61B832B2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40"/>
          <w:sz w:val="52"/>
        </w:rPr>
      </w:pPr>
    </w:p>
    <w:p w14:paraId="55D9437A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40"/>
          <w:sz w:val="52"/>
        </w:rPr>
      </w:pPr>
    </w:p>
    <w:p w14:paraId="5A2EBDE3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40"/>
          <w:sz w:val="52"/>
        </w:rPr>
      </w:pPr>
    </w:p>
    <w:p w14:paraId="2FA430FB">
      <w:pPr>
        <w:adjustRightInd w:val="0"/>
        <w:snapToGrid w:val="0"/>
        <w:spacing w:line="560" w:lineRule="exact"/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 w14:paraId="734186FF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30"/>
        </w:rPr>
      </w:pPr>
    </w:p>
    <w:p w14:paraId="76030295">
      <w:pPr>
        <w:adjustRightInd w:val="0"/>
        <w:snapToGrid w:val="0"/>
        <w:spacing w:line="560" w:lineRule="exact"/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　</w:t>
      </w:r>
      <w:r>
        <w:rPr>
          <w:rFonts w:hint="eastAsia" w:eastAsia="楷体_GB2312"/>
          <w:b/>
          <w:bCs/>
          <w:spacing w:val="30"/>
          <w:sz w:val="36"/>
          <w:lang w:val="en-US" w:eastAsia="zh-CN"/>
        </w:rPr>
        <w:t>2024</w:t>
      </w:r>
      <w:r>
        <w:rPr>
          <w:rFonts w:hint="eastAsia" w:eastAsia="楷体_GB2312"/>
          <w:b/>
          <w:bCs/>
          <w:spacing w:val="30"/>
          <w:sz w:val="36"/>
        </w:rPr>
        <w:t>　</w:t>
      </w:r>
      <w:r>
        <w:rPr>
          <w:rFonts w:hint="eastAsia" w:ascii="楷体_GB2312" w:hAnsi="楷体" w:eastAsia="楷体_GB2312"/>
          <w:b/>
          <w:bCs/>
          <w:spacing w:val="30"/>
          <w:sz w:val="36"/>
        </w:rPr>
        <w:t>年度</w:t>
      </w:r>
      <w:r>
        <w:rPr>
          <w:rFonts w:hint="eastAsia" w:eastAsia="楷体_GB2312"/>
          <w:b/>
          <w:bCs/>
          <w:spacing w:val="30"/>
          <w:sz w:val="36"/>
        </w:rPr>
        <w:t>）</w:t>
      </w:r>
    </w:p>
    <w:p w14:paraId="6CCC4B86">
      <w:pPr>
        <w:adjustRightInd w:val="0"/>
        <w:snapToGrid w:val="0"/>
        <w:spacing w:line="560" w:lineRule="exact"/>
        <w:jc w:val="center"/>
        <w:rPr>
          <w:sz w:val="36"/>
        </w:rPr>
      </w:pPr>
    </w:p>
    <w:p w14:paraId="57400342">
      <w:pPr>
        <w:adjustRightInd w:val="0"/>
        <w:snapToGrid w:val="0"/>
        <w:spacing w:line="560" w:lineRule="exact"/>
        <w:jc w:val="center"/>
        <w:rPr>
          <w:sz w:val="36"/>
        </w:rPr>
      </w:pPr>
    </w:p>
    <w:p w14:paraId="25EC2067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szCs w:val="36"/>
          <w:u w:val="single"/>
        </w:rPr>
      </w:pPr>
      <w:r>
        <w:rPr>
          <w:rFonts w:hint="eastAsia" w:ascii="黑体" w:eastAsia="黑体"/>
          <w:b/>
          <w:bCs/>
          <w:sz w:val="36"/>
        </w:rPr>
        <w:t>单 位 名 称</w:t>
      </w:r>
      <w:r>
        <w:rPr>
          <w:rFonts w:hint="eastAsia" w:ascii="黑体" w:eastAsia="黑体"/>
          <w:b/>
          <w:bCs/>
          <w:sz w:val="36"/>
          <w:lang w:val="en-US" w:eastAsia="zh-CN"/>
        </w:rPr>
        <w:t xml:space="preserve">  张家界市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武陵源区住房保障和房产市场服务中心</w:t>
      </w:r>
    </w:p>
    <w:p w14:paraId="3B86BE41">
      <w:pPr>
        <w:adjustRightInd w:val="0"/>
        <w:snapToGrid w:val="0"/>
        <w:spacing w:line="560" w:lineRule="exact"/>
        <w:ind w:firstLine="1446" w:firstLineChars="400"/>
        <w:rPr>
          <w:rFonts w:hint="eastAsia" w:ascii="黑体" w:eastAsia="黑体"/>
          <w:b/>
          <w:bCs/>
          <w:sz w:val="36"/>
        </w:rPr>
      </w:pPr>
    </w:p>
    <w:p w14:paraId="76EB80DA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u w:val="single"/>
        </w:rPr>
      </w:pPr>
      <w:r>
        <w:rPr>
          <w:rFonts w:hint="eastAsia" w:ascii="黑体" w:eastAsia="黑体"/>
          <w:b/>
          <w:bCs/>
          <w:sz w:val="36"/>
        </w:rPr>
        <w:t>举 办 单 位</w:t>
      </w:r>
      <w:r>
        <w:rPr>
          <w:rFonts w:hint="eastAsia" w:ascii="黑体" w:eastAsia="黑体"/>
          <w:b/>
          <w:bCs/>
          <w:sz w:val="36"/>
          <w:lang w:val="en-US" w:eastAsia="zh-CN"/>
        </w:rPr>
        <w:t xml:space="preserve">  </w:t>
      </w:r>
      <w:r>
        <w:rPr>
          <w:rFonts w:hint="eastAsia" w:ascii="黑体" w:eastAsia="黑体"/>
          <w:b/>
          <w:bCs/>
          <w:sz w:val="36"/>
          <w:lang w:eastAsia="zh-CN"/>
        </w:rPr>
        <w:t>张家界市武陵源区城乡建设和交通运输局</w:t>
      </w:r>
    </w:p>
    <w:p w14:paraId="24D0084F">
      <w:pPr>
        <w:adjustRightInd w:val="0"/>
        <w:snapToGrid w:val="0"/>
        <w:spacing w:line="560" w:lineRule="exact"/>
        <w:ind w:firstLine="540" w:firstLineChars="224"/>
        <w:rPr>
          <w:rFonts w:hint="eastAsia" w:ascii="黑体" w:eastAsia="黑体"/>
          <w:b/>
          <w:bCs/>
          <w:sz w:val="24"/>
          <w:u w:val="single"/>
        </w:rPr>
      </w:pPr>
    </w:p>
    <w:p w14:paraId="3B4B6D30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u w:val="single"/>
        </w:rPr>
      </w:pPr>
      <w:r>
        <w:rPr>
          <w:rFonts w:hint="eastAsia" w:ascii="黑体" w:eastAsia="黑体"/>
          <w:b/>
          <w:bCs/>
          <w:sz w:val="36"/>
        </w:rPr>
        <w:t>法</w:t>
      </w:r>
      <w:r>
        <w:rPr>
          <w:rFonts w:hint="eastAsia" w:ascii="黑体" w:eastAsia="黑体"/>
          <w:b/>
          <w:bCs/>
          <w:spacing w:val="30"/>
          <w:sz w:val="36"/>
        </w:rPr>
        <w:t>定代表</w:t>
      </w:r>
      <w:r>
        <w:rPr>
          <w:rFonts w:hint="eastAsia" w:ascii="黑体" w:eastAsia="黑体"/>
          <w:b/>
          <w:bCs/>
          <w:sz w:val="36"/>
        </w:rPr>
        <w:t>人</w:t>
      </w:r>
      <w:r>
        <w:rPr>
          <w:rFonts w:hint="eastAsia" w:ascii="黑体" w:eastAsia="黑体"/>
          <w:b/>
          <w:bCs/>
          <w:sz w:val="36"/>
          <w:u w:val="none"/>
        </w:rPr>
        <w:t xml:space="preserve"> </w:t>
      </w:r>
      <w:r>
        <w:rPr>
          <w:rFonts w:hint="eastAsia" w:ascii="黑体" w:eastAsia="黑体"/>
          <w:b/>
          <w:bCs/>
          <w:sz w:val="36"/>
          <w:u w:val="none"/>
          <w:lang w:eastAsia="zh-CN"/>
        </w:rPr>
        <w:t>彭曙旗</w:t>
      </w:r>
      <w:r>
        <w:rPr>
          <w:rFonts w:hint="eastAsia" w:ascii="黑体" w:eastAsia="黑体"/>
          <w:b/>
          <w:bCs/>
          <w:sz w:val="36"/>
          <w:u w:val="none"/>
        </w:rPr>
        <w:t xml:space="preserve">                    </w:t>
      </w:r>
      <w:r>
        <w:rPr>
          <w:rFonts w:hint="eastAsia" w:ascii="黑体" w:eastAsia="黑体"/>
          <w:b/>
          <w:bCs/>
          <w:sz w:val="36"/>
          <w:u w:val="single"/>
        </w:rPr>
        <w:t xml:space="preserve">      </w:t>
      </w:r>
    </w:p>
    <w:p w14:paraId="155F7FB1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</w:p>
    <w:p w14:paraId="5DF6A817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</w:p>
    <w:p w14:paraId="7194781E">
      <w:pPr>
        <w:adjustRightInd w:val="0"/>
        <w:snapToGrid w:val="0"/>
        <w:spacing w:line="560" w:lineRule="exact"/>
        <w:jc w:val="right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>张家界市武陵源区事业单位登记管理局制</w:t>
      </w:r>
    </w:p>
    <w:tbl>
      <w:tblPr>
        <w:tblStyle w:val="3"/>
        <w:tblW w:w="9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440"/>
        <w:gridCol w:w="556"/>
        <w:gridCol w:w="1963"/>
        <w:gridCol w:w="3961"/>
      </w:tblGrid>
      <w:tr w14:paraId="00F4E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E41A7A3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《事业</w:t>
            </w:r>
          </w:p>
          <w:p w14:paraId="649FFA5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 位</w:t>
            </w:r>
          </w:p>
          <w:p w14:paraId="5834342D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 人</w:t>
            </w:r>
          </w:p>
          <w:p w14:paraId="64E0468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 xml:space="preserve"> 证书》</w:t>
            </w:r>
          </w:p>
          <w:p w14:paraId="7C33855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登 载</w:t>
            </w:r>
          </w:p>
          <w:p w14:paraId="0CA1037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事 项</w:t>
            </w:r>
          </w:p>
        </w:tc>
        <w:tc>
          <w:tcPr>
            <w:tcW w:w="199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B426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592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9F30D59">
            <w:pPr>
              <w:adjustRightInd w:val="0"/>
              <w:snapToGrid w:val="0"/>
              <w:spacing w:line="560" w:lineRule="exact"/>
              <w:rPr>
                <w:rFonts w:hint="eastAsia" w:ascii="黑体" w:eastAsia="黑体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黑体" w:eastAsia="黑体"/>
                <w:b/>
                <w:bCs/>
                <w:sz w:val="24"/>
                <w:szCs w:val="24"/>
                <w:lang w:val="en-US" w:eastAsia="zh-CN"/>
              </w:rPr>
              <w:t>张家界市</w:t>
            </w:r>
            <w:r>
              <w:rPr>
                <w:rFonts w:hint="eastAsia" w:ascii="黑体" w:eastAsia="黑体"/>
                <w:b/>
                <w:bCs/>
                <w:sz w:val="24"/>
                <w:szCs w:val="24"/>
                <w:lang w:eastAsia="zh-CN"/>
              </w:rPr>
              <w:t>武陵源区住房保障和房产市场服务中心</w:t>
            </w:r>
          </w:p>
          <w:p w14:paraId="5AEC415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57BF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0FB67AF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8E5A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宗 旨 和</w:t>
            </w:r>
          </w:p>
          <w:p w14:paraId="105368B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业务范围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C89060">
            <w:pPr>
              <w:spacing w:line="560" w:lineRule="exact"/>
              <w:jc w:val="both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为人民群众提供房管服务，房屋管理、房地产交易管理、房地产权属管理</w:t>
            </w:r>
          </w:p>
          <w:p w14:paraId="5E71354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27AB9CB4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2C4C9E8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7D58E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74D86F0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78B9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住    所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D2C1EF3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索溪峪军地坪</w:t>
            </w:r>
          </w:p>
        </w:tc>
      </w:tr>
      <w:tr w14:paraId="7524A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EB98116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367C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法定代表人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599B5CE">
            <w:pPr>
              <w:spacing w:line="560" w:lineRule="exact"/>
              <w:jc w:val="both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彭曙旗</w:t>
            </w:r>
          </w:p>
        </w:tc>
      </w:tr>
      <w:tr w14:paraId="51CAC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05C608A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1C08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开办资金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1CCE907">
            <w:pPr>
              <w:tabs>
                <w:tab w:val="left" w:pos="2287"/>
                <w:tab w:val="center" w:pos="2913"/>
              </w:tabs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9万元</w:t>
            </w:r>
          </w:p>
        </w:tc>
      </w:tr>
      <w:tr w14:paraId="561C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586D122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74BE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经费来源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E299D21">
            <w:pPr>
              <w:spacing w:line="560" w:lineRule="exact"/>
              <w:jc w:val="both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财政补助</w:t>
            </w:r>
          </w:p>
        </w:tc>
      </w:tr>
      <w:tr w14:paraId="0A11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4ABB519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02A3993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举办单位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51DE711">
            <w:pPr>
              <w:spacing w:line="560" w:lineRule="exact"/>
              <w:jc w:val="both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  <w:lang w:eastAsia="zh-CN"/>
              </w:rPr>
              <w:t>区住房和城乡建设和交通运输局</w:t>
            </w:r>
          </w:p>
        </w:tc>
      </w:tr>
      <w:tr w14:paraId="6509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6" w:hRule="atLeast"/>
          <w:jc w:val="center"/>
        </w:trPr>
        <w:tc>
          <w:tcPr>
            <w:tcW w:w="162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0B885DD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对《条</w:t>
            </w:r>
          </w:p>
          <w:p w14:paraId="5B2005F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例》和</w:t>
            </w:r>
          </w:p>
          <w:p w14:paraId="528572C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实施细</w:t>
            </w:r>
          </w:p>
          <w:p w14:paraId="3913BC88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则有关</w:t>
            </w:r>
          </w:p>
          <w:p w14:paraId="5E036D9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变更登</w:t>
            </w:r>
          </w:p>
          <w:p w14:paraId="0CB35D3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记规定</w:t>
            </w:r>
          </w:p>
          <w:p w14:paraId="6373BDE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的执行</w:t>
            </w:r>
          </w:p>
          <w:p w14:paraId="728AA7C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  况</w:t>
            </w:r>
          </w:p>
        </w:tc>
        <w:tc>
          <w:tcPr>
            <w:tcW w:w="792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86E196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7F5D25C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7B63758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及时登记</w:t>
            </w:r>
          </w:p>
          <w:p w14:paraId="477E1C0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794B76B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45BCD66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264E1A07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25206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9" w:hRule="atLeast"/>
          <w:jc w:val="center"/>
        </w:trPr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23AFDD4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开</w:t>
            </w:r>
          </w:p>
          <w:p w14:paraId="32BC69F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展</w:t>
            </w:r>
          </w:p>
          <w:p w14:paraId="12E6778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业</w:t>
            </w:r>
          </w:p>
          <w:p w14:paraId="7F768023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务</w:t>
            </w:r>
          </w:p>
          <w:p w14:paraId="4596AA2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活</w:t>
            </w:r>
          </w:p>
          <w:p w14:paraId="2DD2EE5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动</w:t>
            </w:r>
          </w:p>
          <w:p w14:paraId="394CDC18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情</w:t>
            </w:r>
          </w:p>
          <w:p w14:paraId="1AC274F5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况</w:t>
            </w:r>
          </w:p>
        </w:tc>
        <w:tc>
          <w:tcPr>
            <w:tcW w:w="792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EDD83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（一）开展专项整治。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认真贯彻全省城镇棚户区改造专项整治精神，深入开展棚改项目专项整治行动，对2010年来全区申报实施的51个棚改项目进行全面清理和自查，重点围绕项目申报、项目实施、资金使用及回迁安置等环节进行自查自纠。针对自查发现和上级反馈的问题，建立问题整改台账，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32"/>
                <w:szCs w:val="32"/>
                <w:lang w:val="en-US" w:eastAsia="zh-CN"/>
              </w:rPr>
              <w:t>逐个问题明确整改措施和要求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，并积极督促相关责任单位落实整改工作。截止目前，6个问题，整改完成4个，2个还正在整改中。</w:t>
            </w:r>
          </w:p>
          <w:p w14:paraId="0BDF69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（二）抓好项目建设。</w:t>
            </w:r>
            <w:r>
              <w:rPr>
                <w:rFonts w:hint="eastAsia" w:ascii="仿宋" w:hAnsi="仿宋" w:eastAsia="仿宋" w:cs="仿宋"/>
                <w:b/>
                <w:bCs w:val="0"/>
                <w:sz w:val="32"/>
                <w:szCs w:val="32"/>
                <w:lang w:val="en-US" w:eastAsia="zh-CN"/>
              </w:rPr>
              <w:t>一是</w:t>
            </w: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基本完成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2023年</w:t>
            </w: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3个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续建项目，即吴家峪住宅区（凯天公司职工宿舍）、桂冠小区（张管局宿舍）、中湖安置区配套基础设施建设项目，正在进行验收结算工作。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二是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积极推进2024年4个申报实施项目，争取上补资金4784万元。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目前，吴家台老旧小区改造项目、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沙坪施家乐（广电局宿舍）进入收尾阶段；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吴家峪社区片区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岩门住宅小区片区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配套设施建设项目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已完成财评，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正在进行招投标文件审核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  <w:lang w:val="en-US" w:eastAsia="zh-CN"/>
              </w:rPr>
              <w:t>三是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加大项目储备工作力度，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目前正在抓7个项目的立项申报。</w:t>
            </w:r>
          </w:p>
          <w:p w14:paraId="45AA75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（三）加强公租房管理。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强化日常监管，加大清理清查力度，清退不符合公租房保障条件对象16户，追缴租金6万余元；完</w:t>
            </w:r>
            <w:r>
              <w:rPr>
                <w:rFonts w:hint="eastAsia" w:ascii="仿宋" w:hAnsi="仿宋" w:eastAsia="仿宋" w:cs="仿宋"/>
                <w:sz w:val="32"/>
                <w:szCs w:val="32"/>
                <w:u w:val="none"/>
                <w:lang w:val="en-US" w:eastAsia="zh-CN"/>
              </w:rPr>
              <w:t>成63套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保障性租赁住房和15套公租房配租工作。同时，通过惠民补贴一卡通系统，实现租赁补贴阳光发放，取消不符合条件补贴对象135户，发放补贴535户79.5万余元。</w:t>
            </w:r>
          </w:p>
          <w:p w14:paraId="1E15FBD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color="auto" w:fill="FFFFFF"/>
                <w:lang w:val="en-US" w:eastAsia="zh-CN" w:bidi="ar-SA"/>
              </w:rPr>
              <w:t>（四）维护房产市场稳定。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认真贯彻落实房地产调控政策，强化市场风险防范，加强项目资本金及预售资金监管，严格把控资金监管和预售资金支取流程、支出资金的走向。同时，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积极落实保交房工作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加强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天马山国际公馆、富华江山印、索溪美景、云溪庄园、旺府、东冠酒店等开发项目工期进度、质量安全的调度和跟踪服务，有效降低项目延期交房风险。目前，全区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商品房库存1994套，面积20余万平方米。</w:t>
            </w:r>
          </w:p>
          <w:p w14:paraId="0416AF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321" w:firstLineChars="100"/>
              <w:textAlignment w:val="auto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（五）强化小区物业管理。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一是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强化住宅小区物业监管，积极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开展打通消防“生命通道”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电动车充电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”专项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整治工作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，督促物业开展住宅小区消防、用电用汽等安全隐患排查和整改。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二是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加大维修基金管理力度，确保维修资金专款专用、合理支出。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000000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三是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color="auto" w:fill="FFFFFF"/>
                <w:lang w:val="en-US" w:eastAsia="zh-CN"/>
              </w:rPr>
              <w:t>抓好安置小区基础设施维修维护，落实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安置房维修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76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次</w:t>
            </w: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万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多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</w:rPr>
              <w:t>元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尽力维护安置小区稳定。</w:t>
            </w:r>
          </w:p>
          <w:p w14:paraId="3D11F77A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0205617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36E7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B647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相关资质认可或执业许可证明文件及有 效 期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A0131DA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3A5D3B7C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6E1E49D6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5BB2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1A035D2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资产</w:t>
            </w:r>
          </w:p>
          <w:p w14:paraId="3BF4D290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损益</w:t>
            </w:r>
          </w:p>
          <w:p w14:paraId="5BFF3980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color w:val="auto"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5C6F45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所有者权益合计（净资产合计）</w:t>
            </w:r>
          </w:p>
        </w:tc>
      </w:tr>
      <w:tr w14:paraId="16C83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DF8AB0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3C0CE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年初数（万元）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FDF15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期末数（万元）</w:t>
            </w:r>
          </w:p>
        </w:tc>
      </w:tr>
      <w:tr w14:paraId="774D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06812D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4C6F0A2">
            <w:pPr>
              <w:spacing w:line="560" w:lineRule="exact"/>
              <w:jc w:val="center"/>
              <w:rPr>
                <w:rFonts w:hint="default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85923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07302D3">
            <w:pPr>
              <w:spacing w:line="560" w:lineRule="exact"/>
              <w:jc w:val="center"/>
              <w:rPr>
                <w:rFonts w:hint="default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83345</w:t>
            </w:r>
          </w:p>
        </w:tc>
      </w:tr>
      <w:tr w14:paraId="7EFA8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  <w:jc w:val="center"/>
        </w:trPr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B5A4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受奖</w:t>
            </w:r>
          </w:p>
          <w:p w14:paraId="7486246A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惩评</w:t>
            </w:r>
          </w:p>
          <w:p w14:paraId="60EC3F65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估及</w:t>
            </w:r>
          </w:p>
          <w:p w14:paraId="61DEC6E3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诉讼</w:t>
            </w:r>
          </w:p>
          <w:p w14:paraId="5747E63B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投诉</w:t>
            </w:r>
          </w:p>
          <w:p w14:paraId="1E94512F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FD32FD7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65CF463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039E0B86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9344FA2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</w:pPr>
          </w:p>
        </w:tc>
      </w:tr>
      <w:tr w14:paraId="5C1FC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0E9B439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接受</w:t>
            </w:r>
          </w:p>
          <w:p w14:paraId="010FDEE8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捐赠</w:t>
            </w:r>
          </w:p>
          <w:p w14:paraId="167C32C8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资助</w:t>
            </w:r>
          </w:p>
          <w:p w14:paraId="4EFF9DAF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及其</w:t>
            </w:r>
          </w:p>
          <w:p w14:paraId="006914E1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使用</w:t>
            </w:r>
          </w:p>
          <w:p w14:paraId="5269396D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 w14:paraId="1403D8DB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59B9BE1D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11B17CCA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3DCE472D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E52E410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963BD9D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63AAEEF8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</w:tc>
      </w:tr>
      <w:tr w14:paraId="3DB4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62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A79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从业人数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6F2E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上年末</w:t>
            </w:r>
          </w:p>
        </w:tc>
        <w:tc>
          <w:tcPr>
            <w:tcW w:w="648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18D6CF2">
            <w:pPr>
              <w:spacing w:line="560" w:lineRule="exact"/>
              <w:jc w:val="center"/>
              <w:rPr>
                <w:rFonts w:hint="default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13</w:t>
            </w:r>
          </w:p>
        </w:tc>
      </w:tr>
      <w:tr w14:paraId="638BD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162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33063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599A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本年度</w:t>
            </w:r>
          </w:p>
        </w:tc>
        <w:tc>
          <w:tcPr>
            <w:tcW w:w="6480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72FBC2">
            <w:pPr>
              <w:spacing w:line="560" w:lineRule="exact"/>
              <w:jc w:val="center"/>
              <w:rPr>
                <w:rFonts w:hint="default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12</w:t>
            </w:r>
          </w:p>
        </w:tc>
      </w:tr>
      <w:tr w14:paraId="0B0A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04FCD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网上名称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465F7B">
            <w:pPr>
              <w:spacing w:line="560" w:lineRule="exact"/>
              <w:ind w:left="1377"/>
              <w:jc w:val="center"/>
              <w:rPr>
                <w:rFonts w:hint="eastAsia" w:ascii="楷体_GB2312" w:hAnsi="楷体" w:eastAsia="楷体_GB2312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 xml:space="preserve">             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>.公益</w:t>
            </w:r>
          </w:p>
        </w:tc>
      </w:tr>
    </w:tbl>
    <w:p w14:paraId="6DE20676">
      <w:bookmarkStart w:id="0" w:name="_GoBack"/>
      <w:bookmarkEnd w:id="0"/>
      <w:r>
        <w:rPr>
          <w:rFonts w:hint="eastAsia" w:ascii="楷体_GB2312" w:hAnsi="楷体" w:eastAsia="楷体_GB2312"/>
          <w:b/>
          <w:bCs/>
          <w:sz w:val="32"/>
          <w:szCs w:val="32"/>
        </w:rPr>
        <w:t>填表人</w:t>
      </w:r>
      <w:r>
        <w:rPr>
          <w:rFonts w:hint="eastAsia" w:ascii="楷体_GB2312" w:hAnsi="楷体" w:eastAsia="楷体_GB2312"/>
          <w:b/>
          <w:bCs/>
          <w:sz w:val="32"/>
          <w:szCs w:val="32"/>
          <w:lang w:eastAsia="zh-CN"/>
        </w:rPr>
        <w:t>；李丹</w:t>
      </w: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联系电话：</w:t>
      </w:r>
      <w:r>
        <w:rPr>
          <w:rFonts w:hint="eastAsia" w:ascii="楷体_GB2312" w:hAnsi="楷体" w:eastAsia="楷体_GB2312"/>
          <w:b/>
          <w:bCs/>
          <w:sz w:val="32"/>
          <w:szCs w:val="32"/>
          <w:lang w:val="en-US" w:eastAsia="zh-CN"/>
        </w:rPr>
        <w:t>13974497222</w:t>
      </w:r>
      <w:r>
        <w:rPr>
          <w:rFonts w:hint="eastAsia" w:ascii="楷体_GB2312" w:hAnsi="楷体" w:eastAsia="楷体_GB2312"/>
          <w:b/>
          <w:bCs/>
          <w:sz w:val="32"/>
          <w:szCs w:val="32"/>
        </w:rPr>
        <w:t xml:space="preserve"> 填报日期：</w:t>
      </w:r>
      <w:r>
        <w:rPr>
          <w:rFonts w:hint="eastAsia" w:ascii="楷体_GB2312" w:hAnsi="楷体" w:eastAsia="楷体_GB2312"/>
          <w:b/>
          <w:bCs/>
          <w:sz w:val="32"/>
          <w:szCs w:val="32"/>
          <w:lang w:val="en-US" w:eastAsia="zh-CN"/>
        </w:rPr>
        <w:t>2025.2.25</w:t>
      </w:r>
      <w:r>
        <w:rPr>
          <w:rFonts w:hint="eastAsia" w:ascii="楷体_GB2312" w:eastAsia="楷体_GB2312"/>
          <w:b/>
          <w:bCs/>
          <w:sz w:val="32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YmExOGE4NTZkNmYyMmVlMGFlN2Y2ODNkNjQ2Y2EifQ=="/>
  </w:docVars>
  <w:rsids>
    <w:rsidRoot w:val="00AC07DF"/>
    <w:rsid w:val="00061A4A"/>
    <w:rsid w:val="00267111"/>
    <w:rsid w:val="003C6EBF"/>
    <w:rsid w:val="004E4C9B"/>
    <w:rsid w:val="006A7268"/>
    <w:rsid w:val="00A8554F"/>
    <w:rsid w:val="00AC07DF"/>
    <w:rsid w:val="00C67E5A"/>
    <w:rsid w:val="00C96CE1"/>
    <w:rsid w:val="00C97415"/>
    <w:rsid w:val="00DB5B61"/>
    <w:rsid w:val="00DE0511"/>
    <w:rsid w:val="00F139AF"/>
    <w:rsid w:val="00F525C1"/>
    <w:rsid w:val="00F700F8"/>
    <w:rsid w:val="02B04F5A"/>
    <w:rsid w:val="079709F1"/>
    <w:rsid w:val="0D10360B"/>
    <w:rsid w:val="29300DDD"/>
    <w:rsid w:val="2EB631A0"/>
    <w:rsid w:val="3DE25638"/>
    <w:rsid w:val="410A1C8E"/>
    <w:rsid w:val="47BC3B25"/>
    <w:rsid w:val="48B370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Char Char Char Char Char Char Char"/>
    <w:basedOn w:val="1"/>
    <w:link w:val="4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6">
    <w:name w:val="page number"/>
    <w:basedOn w:val="4"/>
    <w:qFormat/>
    <w:uiPriority w:val="0"/>
  </w:style>
  <w:style w:type="paragraph" w:customStyle="1" w:styleId="7">
    <w:name w:val="正文-公1"/>
    <w:basedOn w:val="1"/>
    <w:qFormat/>
    <w:uiPriority w:val="0"/>
    <w:pPr>
      <w:ind w:firstLine="200" w:firstLineChars="200"/>
    </w:pPr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1326</Words>
  <Characters>1409</Characters>
  <Lines>5</Lines>
  <Paragraphs>1</Paragraphs>
  <TotalTime>8</TotalTime>
  <ScaleCrop>false</ScaleCrop>
  <LinksUpToDate>false</LinksUpToDate>
  <CharactersWithSpaces>1607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2015-01-08T02:54:00Z</dcterms:created>
  <dc:creator>微软中国</dc:creator>
  <cp:lastModifiedBy>Administrator</cp:lastModifiedBy>
  <cp:lastPrinted>2025-02-26T07:15:00Z</cp:lastPrinted>
  <dcterms:modified xsi:type="dcterms:W3CDTF">2025-02-26T09:04:59Z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196AF467CD814C71856CFAB2CB49A534_13</vt:lpwstr>
  </property>
  <property fmtid="{D5CDD505-2E9C-101B-9397-08002B2CF9AE}" pid="4" name="KSOTemplateDocerSaveRecord">
    <vt:lpwstr>eyJoZGlkIjoiZmNlYWY3ZGM3OTg5NjBjZjQ5ZThkMjkxMWU3Y2UwNDgifQ==</vt:lpwstr>
  </property>
</Properties>
</file>